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  <w:lang w:val="en-US" w:eastAsia="zh-CN"/>
        </w:rPr>
        <w:t>财政衔接推进乡村振兴补助资金项目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</w:rPr>
        <w:t>计划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36"/>
          <w:sz w:val="36"/>
          <w:szCs w:val="36"/>
        </w:rPr>
        <w:t>完成情况的公告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现将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财政衔接推进乡村振兴补助资金项目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计划完成情况进行公告。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公示期为10天（202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日至202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日）。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接受社会监督，如对资金项目完成情况有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异议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，可向县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巩固拓展脱贫攻坚成果领导小组办公室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反映。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投诉监督单位名称和地址：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迁西县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巩固拓展脱贫攻坚成果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领导小组办公室 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迁西县景忠西街农村产权交易中心三楼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联系电话及电子邮箱：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"mailto:0315-5999015，qxxfpbgs@126.com" </w:instrTex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方正仿宋简体" w:cs="Times New Roman"/>
          <w:i w:val="0"/>
          <w:caps w:val="0"/>
          <w:spacing w:val="0"/>
          <w:sz w:val="32"/>
          <w:szCs w:val="32"/>
          <w:shd w:val="clear" w:color="auto" w:fill="FFFFFF"/>
        </w:rPr>
        <w:t>0315-5999015，qxxfpbgs@126.com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监督电话：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12317    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0315-5999015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财政衔接推进乡村振兴补助资金项目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计划完成情况公告表</w:t>
      </w:r>
    </w:p>
    <w:p>
      <w:pPr>
        <w:widowControl/>
        <w:shd w:val="clear" w:color="auto" w:fill="FFFFFF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1600" w:firstLineChars="5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迁西县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巩固拓展脱贫攻坚成果领导小组办公室</w:t>
      </w:r>
    </w:p>
    <w:p>
      <w:pPr>
        <w:widowControl/>
        <w:shd w:val="clear" w:color="auto" w:fill="FFFFFF"/>
        <w:ind w:firstLine="3840" w:firstLineChars="1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3F"/>
    <w:rsid w:val="002C44A5"/>
    <w:rsid w:val="003E2780"/>
    <w:rsid w:val="00B5323F"/>
    <w:rsid w:val="00E400AE"/>
    <w:rsid w:val="00E55965"/>
    <w:rsid w:val="0BA93E07"/>
    <w:rsid w:val="1B5E1021"/>
    <w:rsid w:val="31A36902"/>
    <w:rsid w:val="56BD69BC"/>
    <w:rsid w:val="6C5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2019-11-21T14:53:00Z</dcterms:created>
  <dc:creator>微软用户</dc:creator>
  <cp:lastModifiedBy>baixin</cp:lastModifiedBy>
  <dcterms:modified xsi:type="dcterms:W3CDTF">2025-09-02T10:55:21Z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35B404F9D66C22A3995CB66841DC0778</vt:lpwstr>
  </property>
</Properties>
</file>