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宋体" w:cs="Times New Roman"/>
          <w:color w:val="auto"/>
          <w:sz w:val="44"/>
          <w:szCs w:val="44"/>
          <w:lang w:eastAsia="zh-CN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</w:p>
    <w:p>
      <w:pPr>
        <w:jc w:val="center"/>
        <w:rPr>
          <w:rFonts w:hint="default" w:ascii="Times New Roman" w:hAnsi="Times New Roman" w:cs="Times New Roman"/>
          <w:color w:val="auto"/>
          <w:sz w:val="44"/>
          <w:szCs w:val="44"/>
        </w:rPr>
      </w:pPr>
      <w:bookmarkStart w:id="0" w:name="_GoBack"/>
      <w:bookmarkEnd w:id="0"/>
    </w:p>
    <w:p>
      <w:pPr>
        <w:jc w:val="both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</w:pPr>
    </w:p>
    <w:p>
      <w:pPr>
        <w:jc w:val="center"/>
        <w:rPr>
          <w:rFonts w:hint="default" w:ascii="Times New Roman" w:hAnsi="Times New Roman" w:eastAsia="仿宋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" w:cs="Times New Roman"/>
          <w:color w:val="auto"/>
          <w:sz w:val="32"/>
          <w:szCs w:val="32"/>
          <w:lang w:val="en-US" w:eastAsia="zh-CN"/>
        </w:rPr>
        <w:t>迁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双随机办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〔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b w:val="0"/>
          <w:bCs w:val="0"/>
          <w:color w:val="auto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" w:cs="Times New Roman"/>
          <w:b w:val="0"/>
          <w:bCs w:val="0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" w:cs="Times New Roman"/>
          <w:color w:val="auto"/>
          <w:sz w:val="32"/>
          <w:szCs w:val="32"/>
        </w:rPr>
        <w:t>号</w:t>
      </w:r>
    </w:p>
    <w:p>
      <w:pPr>
        <w:jc w:val="center"/>
        <w:rPr>
          <w:rFonts w:hint="default" w:ascii="Times New Roman" w:hAnsi="Times New Roman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</w:pPr>
    </w:p>
    <w:p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  <w:t>202</w:t>
      </w: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  <w:t>年迁西县</w:t>
      </w:r>
      <w:r>
        <w:rPr>
          <w:rFonts w:hint="eastAsia" w:ascii="Times New Roman" w:hAnsi="Times New Roman" w:eastAsia="黑体" w:cs="Times New Roman"/>
          <w:b/>
          <w:bCs/>
          <w:color w:val="auto"/>
          <w:kern w:val="21"/>
          <w:sz w:val="44"/>
          <w:szCs w:val="44"/>
          <w:lang w:val="en-US" w:eastAsia="zh-CN"/>
        </w:rPr>
        <w:t>房地产行业</w:t>
      </w:r>
    </w:p>
    <w:p>
      <w:pPr>
        <w:keepNext w:val="0"/>
        <w:keepLines w:val="0"/>
        <w:pageBreakBefore w:val="0"/>
        <w:kinsoku/>
        <w:overflowPunct/>
        <w:autoSpaceDN/>
        <w:bidi w:val="0"/>
        <w:adjustRightInd/>
        <w:snapToGrid/>
        <w:spacing w:beforeLines="0" w:afterLines="0" w:line="560" w:lineRule="exact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32"/>
        </w:rPr>
      </w:pPr>
      <w:r>
        <w:rPr>
          <w:rFonts w:hint="default" w:ascii="Times New Roman" w:hAnsi="Times New Roman" w:eastAsia="黑体" w:cs="Times New Roman"/>
          <w:b/>
          <w:bCs/>
          <w:color w:val="auto"/>
          <w:kern w:val="21"/>
          <w:sz w:val="44"/>
          <w:szCs w:val="44"/>
        </w:rPr>
        <w:t>“双随机、一公开”跨部门联合抽查方案</w:t>
      </w:r>
    </w:p>
    <w:p>
      <w:pPr>
        <w:jc w:val="center"/>
        <w:rPr>
          <w:rFonts w:hint="eastAsia" w:ascii="宋体" w:hAnsi="宋体" w:eastAsia="宋体" w:cs="宋体"/>
          <w:b/>
          <w:bCs/>
          <w:color w:val="auto"/>
          <w:kern w:val="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80" w:lineRule="exact"/>
        <w:ind w:right="0" w:rightChars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按照《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年“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双随机、一公开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”抽查工作计划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》</w:t>
      </w:r>
      <w:r>
        <w:rPr>
          <w:rFonts w:hint="eastAsia" w:ascii="方正仿宋简体" w:eastAsia="方正仿宋简体"/>
          <w:sz w:val="32"/>
        </w:rPr>
        <w:t>要求，根据</w:t>
      </w:r>
      <w:r>
        <w:rPr>
          <w:rFonts w:hint="eastAsia" w:ascii="方正仿宋简体" w:eastAsia="方正仿宋简体"/>
          <w:sz w:val="32"/>
          <w:lang w:eastAsia="zh-CN"/>
        </w:rPr>
        <w:t>工作</w:t>
      </w:r>
      <w:r>
        <w:rPr>
          <w:rFonts w:hint="eastAsia" w:ascii="方正仿宋简体" w:eastAsia="方正仿宋简体"/>
          <w:sz w:val="32"/>
        </w:rPr>
        <w:t>实际，制定如下工作方案：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一、抽查时间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640"/>
          <w:tab w:val="left" w:pos="1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auto"/>
          <w:sz w:val="32"/>
          <w:szCs w:val="32"/>
          <w:lang w:val="en-US" w:eastAsia="zh-CN"/>
        </w:rPr>
        <w:t>2024年4月12日至7月15日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>二、抽查对象范围及比例</w:t>
      </w:r>
    </w:p>
    <w:p>
      <w:pPr>
        <w:pStyle w:val="16"/>
        <w:keepNext w:val="0"/>
        <w:keepLines w:val="0"/>
        <w:pageBreakBefore w:val="0"/>
        <w:widowControl w:val="0"/>
        <w:shd w:val="clear" w:color="auto" w:fill="auto"/>
        <w:tabs>
          <w:tab w:val="left" w:pos="640"/>
          <w:tab w:val="left" w:pos="120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ind w:left="0" w:leftChars="0" w:right="0" w:firstLine="640" w:firstLineChars="200"/>
        <w:jc w:val="both"/>
        <w:textAlignment w:val="auto"/>
        <w:outlineLvl w:val="9"/>
        <w:rPr>
          <w:rFonts w:hint="default" w:ascii="Times New Roman" w:hAnsi="Times New Roman" w:eastAsia="方正仿宋简体" w:cs="Times New Roman"/>
          <w:sz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不低于企业总数20%</w:t>
      </w:r>
      <w:r>
        <w:rPr>
          <w:rFonts w:hint="eastAsia" w:ascii="Times New Roman" w:hAnsi="Times New Roman" w:eastAsia="方正仿宋简体" w:cs="Times New Roman"/>
          <w:sz w:val="32"/>
          <w:lang w:val="en-US" w:eastAsia="zh-CN"/>
        </w:rPr>
        <w:t>，抽查方式为定向抽查。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三、抽查实施主体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县住房和城乡建设局、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shd w:val="clear" w:color="auto" w:fill="auto"/>
          <w:lang w:val="en-US" w:eastAsia="zh-CN" w:bidi="ar"/>
        </w:rPr>
        <w:t>县统计局（以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下简称为：县住建局、县统计局）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四、联合抽查检查事项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1、</w:t>
      </w:r>
      <w:r>
        <w:rPr>
          <w:rFonts w:hint="eastAsia" w:ascii="方正仿宋简体" w:eastAsia="方正仿宋简体"/>
          <w:sz w:val="32"/>
        </w:rPr>
        <w:t>县</w:t>
      </w:r>
      <w:r>
        <w:rPr>
          <w:rFonts w:hint="eastAsia" w:ascii="方正仿宋简体" w:eastAsia="方正仿宋简体"/>
          <w:sz w:val="32"/>
          <w:lang w:eastAsia="zh-CN"/>
        </w:rPr>
        <w:t>住建</w:t>
      </w:r>
      <w:r>
        <w:rPr>
          <w:rFonts w:hint="eastAsia" w:ascii="方正仿宋简体" w:eastAsia="方正仿宋简体"/>
          <w:sz w:val="32"/>
        </w:rPr>
        <w:t>局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（1）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临时性建筑物搭建、堆放物料、占道施工审批后的监督检查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（2）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房地产开发企业资质（二级）许可后相关法律、法规、规章的执行情况；企业资质条件及资质标准执行情况；企业的市场行为的监督检查。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（3）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市政设施建设类审批（挖掘道路）的监督检查。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（4）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房地产市场监督检查</w:t>
      </w:r>
    </w:p>
    <w:p>
      <w:pPr>
        <w:pStyle w:val="17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（5）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房地产市场行政监督管理行为的监督检查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县统计局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default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（1）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对统计调查对象依法建立原始记录、统计台账和统计资料管理制度情况检查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五、组织实施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（一）抽查任务分工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1.县</w:t>
      </w:r>
      <w:r>
        <w:rPr>
          <w:rFonts w:hint="eastAsia" w:eastAsia="方正仿宋简体" w:cs="Times New Roman"/>
          <w:sz w:val="32"/>
          <w:lang w:eastAsia="zh-CN"/>
        </w:rPr>
        <w:t>住建</w:t>
      </w:r>
      <w:r>
        <w:rPr>
          <w:rFonts w:hint="default" w:ascii="Times New Roman" w:hAnsi="Times New Roman" w:eastAsia="方正仿宋简体" w:cs="Times New Roman"/>
          <w:sz w:val="32"/>
        </w:rPr>
        <w:t>局负责随机抽取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房房地产开发公司、房地产经纪机构、房地产估价机构</w:t>
      </w:r>
      <w:r>
        <w:rPr>
          <w:rFonts w:hint="default" w:ascii="Times New Roman" w:hAnsi="Times New Roman" w:eastAsia="方正仿宋简体" w:cs="Times New Roman"/>
          <w:sz w:val="32"/>
        </w:rPr>
        <w:t>名单，并分派至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eastAsia="方正仿宋简体" w:cs="Times New Roman"/>
          <w:sz w:val="32"/>
          <w:lang w:val="en-US" w:eastAsia="zh-CN"/>
        </w:rPr>
        <w:t>统计局</w:t>
      </w:r>
      <w:r>
        <w:rPr>
          <w:rFonts w:hint="default" w:ascii="Times New Roman" w:hAnsi="Times New Roman" w:eastAsia="方正仿宋简体" w:cs="Times New Roman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2.</w:t>
      </w:r>
      <w:r>
        <w:rPr>
          <w:rFonts w:hint="eastAsia" w:ascii="方正仿宋简体" w:eastAsia="方正仿宋简体"/>
          <w:sz w:val="32"/>
        </w:rPr>
        <w:t xml:space="preserve"> 县住建局负责联合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eastAsia="方正仿宋简体" w:cs="Times New Roman"/>
          <w:sz w:val="32"/>
          <w:lang w:val="en-US" w:eastAsia="zh-CN"/>
        </w:rPr>
        <w:t>统计局</w:t>
      </w:r>
      <w:r>
        <w:rPr>
          <w:rFonts w:hint="eastAsia" w:ascii="方正仿宋简体" w:eastAsia="方正仿宋简体"/>
          <w:sz w:val="32"/>
        </w:rPr>
        <w:t>依法组织对辖区内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eastAsia" w:ascii="方正仿宋简体" w:eastAsia="方正仿宋简体"/>
          <w:sz w:val="32"/>
        </w:rPr>
        <w:t xml:space="preserve">开展部门联合随机抽查。各单位要密切配合、加强协作，在要求时限内完成对涉及本部门随机抽查事项的检查、录入、公示，并将抽查工作情况汇总上报到县“双随机、一公开”监管工作领导小组办公室。县“双随机、一公开”监管工作领导小组办公室做好督导检查、总结上报等相关工作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（二）抽查方式及流程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1.县</w:t>
      </w:r>
      <w:r>
        <w:rPr>
          <w:rFonts w:hint="eastAsia" w:eastAsia="方正仿宋简体" w:cs="Times New Roman"/>
          <w:sz w:val="32"/>
          <w:lang w:val="en-US" w:eastAsia="zh-CN"/>
        </w:rPr>
        <w:t>住建局</w:t>
      </w:r>
      <w:r>
        <w:rPr>
          <w:rFonts w:hint="default" w:ascii="Times New Roman" w:hAnsi="Times New Roman" w:eastAsia="方正仿宋简体" w:cs="Times New Roman"/>
          <w:sz w:val="32"/>
        </w:rPr>
        <w:t>通过河北省双随机监管工作平台，将随机抽取的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default" w:ascii="Times New Roman" w:hAnsi="Times New Roman" w:eastAsia="方正仿宋简体" w:cs="Times New Roman"/>
          <w:sz w:val="32"/>
        </w:rPr>
        <w:t>名单分派至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default" w:ascii="Times New Roman" w:hAnsi="Times New Roman" w:eastAsia="方正仿宋简体" w:cs="Times New Roman"/>
          <w:sz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default" w:ascii="Times New Roman" w:hAnsi="Times New Roman" w:eastAsia="方正仿宋简体" w:cs="Times New Roman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2.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default" w:ascii="Times New Roman" w:hAnsi="Times New Roman" w:eastAsia="方正仿宋简体" w:cs="Times New Roman"/>
          <w:sz w:val="32"/>
        </w:rPr>
        <w:t>按照“谁管辖，谁负责”的原则，依法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default" w:ascii="Times New Roman" w:hAnsi="Times New Roman" w:eastAsia="方正仿宋简体" w:cs="Times New Roman"/>
          <w:sz w:val="32"/>
        </w:rPr>
        <w:t xml:space="preserve">开展部门联合随机抽查。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 xml:space="preserve">3.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对抽查对象实施联合检查，对抽查事项及内容，应当一次性完成检查，不得出现重复检查、多头执法等现象，做到“进一次门，查多项事”。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（三）抽查结果公示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1.</w:t>
      </w:r>
      <w:r>
        <w:rPr>
          <w:rFonts w:hint="eastAsia" w:ascii="方正仿宋简体" w:eastAsia="方正仿宋简体"/>
          <w:sz w:val="32"/>
        </w:rPr>
        <w:t>抽查结果公示路径。抽查检查工作结束后，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应按照“谁检查、谁录入”的原则，履行审批程序后，将抽查检查结果录入河北省双随机监管工作平台，并通过国家企业信用信息公示系统（河北）（以下简称“公示系统”）向社会公示。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default" w:ascii="Times New Roman" w:hAnsi="Times New Roman" w:eastAsia="方正仿宋简体" w:cs="Times New Roman"/>
          <w:sz w:val="32"/>
        </w:rPr>
        <w:t>2.</w:t>
      </w:r>
      <w:r>
        <w:rPr>
          <w:rFonts w:hint="eastAsia" w:ascii="方正仿宋简体" w:eastAsia="方正仿宋简体"/>
          <w:sz w:val="32"/>
        </w:rPr>
        <w:t>抽查结果公示时限。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>应在抽查检查完成之日起</w:t>
      </w:r>
      <w:r>
        <w:rPr>
          <w:rFonts w:hint="default" w:ascii="Times New Roman" w:hAnsi="Times New Roman" w:eastAsia="方正仿宋简体" w:cs="Times New Roman"/>
          <w:sz w:val="32"/>
        </w:rPr>
        <w:t>5</w:t>
      </w:r>
      <w:r>
        <w:rPr>
          <w:rFonts w:hint="eastAsia" w:ascii="方正仿宋简体" w:eastAsia="方正仿宋简体"/>
          <w:sz w:val="32"/>
        </w:rPr>
        <w:t>个工作日内，将抽查检查结果录入系统</w:t>
      </w:r>
      <w:r>
        <w:rPr>
          <w:rFonts w:hint="eastAsia" w:ascii="方正仿宋简体" w:eastAsia="方正仿宋简体"/>
          <w:sz w:val="32"/>
          <w:lang w:val="en-US" w:eastAsia="zh-CN"/>
        </w:rPr>
        <w:t>，并由牵头单位汇总后在政府网站统一进行</w:t>
      </w:r>
      <w:r>
        <w:rPr>
          <w:rFonts w:hint="eastAsia" w:ascii="方正仿宋简体" w:eastAsia="方正仿宋简体"/>
          <w:sz w:val="32"/>
        </w:rPr>
        <w:t xml:space="preserve">公示。已实施检查但未依法进行公示的，视为未完成抽查任务。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 xml:space="preserve">（四）抽查结果后续处理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>在部门联合抽查过程中，发现企业存在违法行为，属于本部门职责的，要依法予以处理；属于其他部门职责的，应当及时移交有关部门处理；涉及多个部门职责的，按照“谁审批谁监管、谁主管、谁监管”的原则，移交许可审批部门牵头处理，其他</w:t>
      </w:r>
      <w:r>
        <w:rPr>
          <w:rFonts w:hint="eastAsia" w:ascii="方正仿宋简体" w:hAnsi="方正仿宋简体" w:eastAsia="方正仿宋简体" w:cs="方正仿宋简体"/>
          <w:sz w:val="32"/>
        </w:rPr>
        <w:t xml:space="preserve">部门配合。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黑体简体" w:hAnsi="方正黑体简体" w:eastAsia="方正黑体简体" w:cs="方正黑体简体"/>
          <w:sz w:val="32"/>
        </w:rPr>
      </w:pPr>
      <w:r>
        <w:rPr>
          <w:rFonts w:hint="eastAsia" w:ascii="方正黑体简体" w:hAnsi="方正黑体简体" w:eastAsia="方正黑体简体" w:cs="方正黑体简体"/>
          <w:sz w:val="32"/>
        </w:rPr>
        <w:t xml:space="preserve">六、工作要求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（一）加强组织领导。这次对全县</w:t>
      </w:r>
      <w:r>
        <w:rPr>
          <w:rFonts w:hint="eastAsia" w:ascii="方正仿宋简体" w:hAnsi="方正仿宋简体" w:eastAsia="方正仿宋简体" w:cs="方正仿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房地产开发公司、房地产经纪机构、房地产估价机构</w:t>
      </w:r>
      <w:r>
        <w:rPr>
          <w:rFonts w:hint="eastAsia" w:ascii="方正仿宋简体" w:eastAsia="方正仿宋简体"/>
          <w:sz w:val="32"/>
        </w:rPr>
        <w:t>的部门联合随机抽查，涉及广大人民群众的切身利益，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>要高度重视，精心组织，周密部署，确保此次定向联合抽查工作依法、有序开展。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（二）加强宣传引导。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要加强宣传报道，公开抽查依据、抽查事项、抽查内容、抽查方式，扩大抽查工作的社会影响力，使社会公众充分了解此次抽查工作的意义、目的，积极举报企业违法线索。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（三）加强协调配合。县</w:t>
      </w:r>
      <w:r>
        <w:rPr>
          <w:rFonts w:hint="eastAsia" w:ascii="方正仿宋简体" w:eastAsia="方正仿宋简体"/>
          <w:sz w:val="32"/>
          <w:lang w:eastAsia="zh-CN"/>
        </w:rPr>
        <w:t>住建</w:t>
      </w:r>
      <w:r>
        <w:rPr>
          <w:rFonts w:hint="eastAsia" w:ascii="方正仿宋简体" w:eastAsia="方正仿宋简体"/>
          <w:sz w:val="32"/>
        </w:rPr>
        <w:t>局要切实发挥牵头作用，进一步明确目标任务和职责分工，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县住建局、县</w:t>
      </w:r>
      <w:r>
        <w:rPr>
          <w:rFonts w:hint="eastAsia" w:eastAsia="方正仿宋简体" w:cs="Times New Roman"/>
          <w:sz w:val="32"/>
          <w:lang w:eastAsia="zh-CN"/>
        </w:rPr>
        <w:t>统计局</w:t>
      </w:r>
      <w:r>
        <w:rPr>
          <w:rFonts w:hint="eastAsia" w:ascii="方正仿宋简体" w:eastAsia="方正仿宋简体"/>
          <w:sz w:val="32"/>
        </w:rPr>
        <w:t xml:space="preserve">要主动配合，按时限高标准完成抽查任务。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/>
        <w:textAlignment w:val="auto"/>
        <w:rPr>
          <w:rFonts w:hint="eastAsia" w:ascii="方正仿宋简体" w:eastAsia="方正仿宋简体"/>
          <w:sz w:val="32"/>
        </w:rPr>
      </w:pPr>
      <w:r>
        <w:rPr>
          <w:rFonts w:hint="eastAsia" w:ascii="方正仿宋简体" w:eastAsia="方正仿宋简体"/>
          <w:sz w:val="32"/>
        </w:rPr>
        <w:t>（四）按时报送总结。各单位于</w:t>
      </w:r>
      <w:r>
        <w:rPr>
          <w:rFonts w:hint="default" w:ascii="Times New Roman" w:hAnsi="Times New Roman" w:eastAsia="方正仿宋简体" w:cs="Times New Roman"/>
          <w:sz w:val="32"/>
        </w:rPr>
        <w:t xml:space="preserve"> 202</w:t>
      </w:r>
      <w:r>
        <w:rPr>
          <w:rFonts w:hint="eastAsia" w:eastAsia="方正仿宋简体" w:cs="Times New Roman"/>
          <w:sz w:val="32"/>
          <w:lang w:val="en-US" w:eastAsia="zh-CN"/>
        </w:rPr>
        <w:t>4</w:t>
      </w:r>
      <w:r>
        <w:rPr>
          <w:rFonts w:hint="default" w:ascii="Times New Roman" w:hAnsi="Times New Roman" w:eastAsia="方正仿宋简体" w:cs="Times New Roman"/>
          <w:sz w:val="32"/>
        </w:rPr>
        <w:t>年</w:t>
      </w:r>
      <w:r>
        <w:rPr>
          <w:rFonts w:hint="eastAsia" w:eastAsia="方正仿宋简体" w:cs="Times New Roman"/>
          <w:sz w:val="32"/>
          <w:lang w:val="en-US" w:eastAsia="zh-CN"/>
        </w:rPr>
        <w:t>12</w:t>
      </w:r>
      <w:r>
        <w:rPr>
          <w:rFonts w:hint="default" w:ascii="Times New Roman" w:hAnsi="Times New Roman" w:eastAsia="方正仿宋简体" w:cs="Times New Roman"/>
          <w:sz w:val="32"/>
        </w:rPr>
        <w:t>月31</w:t>
      </w:r>
      <w:r>
        <w:rPr>
          <w:rFonts w:hint="eastAsia" w:ascii="方正仿宋简体" w:eastAsia="方正仿宋简体"/>
          <w:sz w:val="32"/>
        </w:rPr>
        <w:t>日前将工作总结及统计表（见附件）上报县</w:t>
      </w:r>
      <w:r>
        <w:rPr>
          <w:rFonts w:hint="eastAsia" w:ascii="方正仿宋简体" w:eastAsia="方正仿宋简体"/>
          <w:sz w:val="32"/>
          <w:lang w:eastAsia="zh-CN"/>
        </w:rPr>
        <w:t>“双随机、一公开”</w:t>
      </w:r>
      <w:r>
        <w:rPr>
          <w:rFonts w:hint="eastAsia" w:ascii="方正仿宋简体" w:eastAsia="方正仿宋简体"/>
          <w:sz w:val="32"/>
        </w:rPr>
        <w:t>监管工作领导小组办公室。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eastAsia" w:ascii="方正仿宋简体" w:eastAsia="方正仿宋简体"/>
          <w:sz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方正仿宋简体" w:eastAsia="方正仿宋简体"/>
          <w:sz w:val="32"/>
          <w:lang w:val="en-US" w:eastAsia="zh-CN"/>
        </w:rPr>
      </w:pPr>
      <w:r>
        <w:rPr>
          <w:rFonts w:hint="eastAsia" w:ascii="方正仿宋简体" w:eastAsia="方正仿宋简体"/>
          <w:sz w:val="32"/>
        </w:rPr>
        <w:t>联系人：</w:t>
      </w:r>
      <w:r>
        <w:rPr>
          <w:rFonts w:hint="eastAsia" w:ascii="方正仿宋简体" w:eastAsia="方正仿宋简体"/>
          <w:sz w:val="32"/>
          <w:lang w:val="en-US" w:eastAsia="zh-CN"/>
        </w:rPr>
        <w:t>王雯萱、</w:t>
      </w:r>
      <w:r>
        <w:rPr>
          <w:rFonts w:hint="eastAsia" w:eastAsia="方正仿宋简体"/>
          <w:sz w:val="32"/>
          <w:lang w:val="en-US" w:eastAsia="zh-CN"/>
        </w:rPr>
        <w:t>县住建局孙李昂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ascii="Times New Roman" w:hAnsi="Times New Roman" w:eastAsia="方正仿宋简体"/>
          <w:sz w:val="32"/>
          <w:lang w:val="en-US" w:eastAsia="zh-CN"/>
        </w:rPr>
      </w:pPr>
      <w:r>
        <w:rPr>
          <w:rFonts w:hint="eastAsia" w:ascii="方正仿宋简体" w:eastAsia="方正仿宋简体"/>
          <w:sz w:val="32"/>
        </w:rPr>
        <w:t>联系电话：</w:t>
      </w:r>
      <w:r>
        <w:rPr>
          <w:rFonts w:hint="default" w:ascii="Times New Roman" w:hAnsi="Times New Roman" w:eastAsia="方正仿宋简体"/>
          <w:sz w:val="32"/>
        </w:rPr>
        <w:t>56</w:t>
      </w:r>
      <w:r>
        <w:rPr>
          <w:rFonts w:hint="eastAsia" w:ascii="Times New Roman" w:hAnsi="Times New Roman" w:eastAsia="方正仿宋简体"/>
          <w:sz w:val="32"/>
          <w:lang w:val="en-US" w:eastAsia="zh-CN"/>
        </w:rPr>
        <w:t>88219</w:t>
      </w:r>
      <w:r>
        <w:rPr>
          <w:rFonts w:hint="eastAsia" w:eastAsia="方正仿宋简体"/>
          <w:sz w:val="32"/>
          <w:lang w:val="en-US" w:eastAsia="zh-CN"/>
        </w:rPr>
        <w:t>、5615716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firstLine="640" w:firstLineChars="200"/>
        <w:textAlignment w:val="auto"/>
        <w:rPr>
          <w:rFonts w:hint="default" w:eastAsia="方正仿宋简体"/>
          <w:sz w:val="32"/>
          <w:lang w:val="en-US" w:eastAsia="zh-CN"/>
        </w:rPr>
      </w:pPr>
      <w:r>
        <w:rPr>
          <w:rFonts w:hint="eastAsia" w:ascii="Times New Roman" w:hAnsi="Times New Roman" w:eastAsia="方正仿宋简体"/>
          <w:sz w:val="32"/>
        </w:rPr>
        <w:t>电子</w:t>
      </w:r>
      <w:r>
        <w:rPr>
          <w:rFonts w:hint="eastAsia" w:eastAsia="方正仿宋简体"/>
          <w:sz w:val="32"/>
          <w:lang w:val="en-US" w:eastAsia="zh-CN"/>
        </w:rPr>
        <w:t>邮箱：</w:t>
      </w:r>
      <w:r>
        <w:rPr>
          <w:rFonts w:hint="default" w:eastAsia="方正仿宋简体"/>
          <w:sz w:val="32"/>
          <w:lang w:val="en-US" w:eastAsia="zh-CN"/>
        </w:rPr>
        <w:fldChar w:fldCharType="begin"/>
      </w:r>
      <w:r>
        <w:rPr>
          <w:rFonts w:hint="default" w:eastAsia="方正仿宋简体"/>
          <w:sz w:val="32"/>
          <w:lang w:val="en-US" w:eastAsia="zh-CN"/>
        </w:rPr>
        <w:instrText xml:space="preserve"> HYPERLINK "mailto:qxssjbgs@163.com；" </w:instrText>
      </w:r>
      <w:r>
        <w:rPr>
          <w:rFonts w:hint="default" w:eastAsia="方正仿宋简体"/>
          <w:sz w:val="32"/>
          <w:lang w:val="en-US" w:eastAsia="zh-CN"/>
        </w:rPr>
        <w:fldChar w:fldCharType="separate"/>
      </w:r>
      <w:r>
        <w:rPr>
          <w:rFonts w:hint="default" w:eastAsia="方正仿宋简体"/>
          <w:sz w:val="32"/>
          <w:lang w:val="en-US" w:eastAsia="zh-CN"/>
        </w:rPr>
        <w:t>qxssjbgs@163.com</w:t>
      </w:r>
      <w:r>
        <w:rPr>
          <w:rFonts w:hint="eastAsia" w:eastAsia="方正仿宋简体"/>
          <w:sz w:val="32"/>
          <w:lang w:val="en-US" w:eastAsia="zh-CN"/>
        </w:rPr>
        <w:t>；</w:t>
      </w:r>
      <w:r>
        <w:rPr>
          <w:rFonts w:hint="default" w:eastAsia="方正仿宋简体"/>
          <w:sz w:val="32"/>
          <w:lang w:val="en-US" w:eastAsia="zh-CN"/>
        </w:rPr>
        <w:fldChar w:fldCharType="end"/>
      </w:r>
      <w:r>
        <w:rPr>
          <w:rFonts w:hint="default" w:eastAsia="方正仿宋简体"/>
          <w:sz w:val="32"/>
          <w:lang w:val="en-US" w:eastAsia="zh-CN"/>
        </w:rPr>
        <w:fldChar w:fldCharType="begin"/>
      </w:r>
      <w:r>
        <w:rPr>
          <w:rFonts w:hint="default" w:eastAsia="方正仿宋简体"/>
          <w:sz w:val="32"/>
          <w:lang w:val="en-US" w:eastAsia="zh-CN"/>
        </w:rPr>
        <w:instrText xml:space="preserve"> HYPERLINK "mailto:tsqxfgk@sina.com" </w:instrText>
      </w:r>
      <w:r>
        <w:rPr>
          <w:rFonts w:hint="default" w:eastAsia="方正仿宋简体"/>
          <w:sz w:val="32"/>
          <w:lang w:val="en-US" w:eastAsia="zh-CN"/>
        </w:rPr>
        <w:fldChar w:fldCharType="separate"/>
      </w:r>
      <w:r>
        <w:rPr>
          <w:rFonts w:hint="default" w:eastAsia="方正仿宋简体"/>
          <w:sz w:val="32"/>
          <w:lang w:val="en-US" w:eastAsia="zh-CN"/>
        </w:rPr>
        <w:t>tsqxfgk@sina.com</w:t>
      </w:r>
      <w:r>
        <w:rPr>
          <w:rFonts w:hint="default" w:eastAsia="方正仿宋简体"/>
          <w:sz w:val="32"/>
          <w:lang w:val="en-US" w:eastAsia="zh-CN"/>
        </w:rPr>
        <w:fldChar w:fldCharType="end"/>
      </w:r>
    </w:p>
    <w:p>
      <w:pPr>
        <w:pStyle w:val="14"/>
        <w:rPr>
          <w:rFonts w:hint="default" w:eastAsia="方正仿宋简体"/>
          <w:sz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迁西县“双随机、一公开”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0" w:firstLineChars="1500"/>
        <w:jc w:val="right"/>
        <w:textAlignment w:val="auto"/>
        <w:rPr>
          <w:rFonts w:hint="default" w:ascii="Times New Roman" w:hAnsi="Times New Roman" w:eastAsia="仿宋_GB2312" w:cs="Times New Roman"/>
          <w:sz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工作领导小组办公室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560" w:lineRule="exact"/>
        <w:ind w:left="1916" w:leftChars="760" w:hanging="320" w:hangingChars="100"/>
        <w:jc w:val="right"/>
        <w:textAlignment w:val="auto"/>
        <w:rPr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2024年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lang w:val="en-US" w:eastAsia="zh-CN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287" w:usb1="00000000" w:usb2="00000000" w:usb3="00000000" w:csb0="4000009F" w:csb1="DFD74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方正黑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abs>
        <w:tab w:val="clear" w:pos="4153"/>
      </w:tabs>
      <w:spacing w:beforeLines="0" w:afterLines="0"/>
      <w:rPr>
        <w:rFonts w:hint="default" w:eastAsia="Calibri"/>
        <w:sz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4966335</wp:posOffset>
              </wp:positionH>
              <wp:positionV relativeFrom="paragraph">
                <wp:posOffset>9525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1.05pt;margin-top:0.75pt;height:144pt;width:144p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BYAAABkcnMvUEsBAhQAFAAAAAgAh07iQD9+mErVAAAACgEAAA8AAAAA&#10;AAAAAQAgAAAAOAAAAGRycy9kb3ducmV2LnhtbFBLAQIUABQAAAAIAIdO4kDkov7PyAEAAJkDAAAO&#10;AAAAAAAAAAEAIAAAADoBAABkcnMvZTJvRG9jLnhtbFBLBQYAAAAABgAGAFkBAAB0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lang w:eastAsia="zh-CN"/>
      </w:rPr>
      <w:tab/>
    </w:r>
    <w:r>
      <w:rPr>
        <w:rFonts w:hint="eastAsia" w:eastAsia="宋体"/>
        <w:sz w:val="28"/>
        <w:szCs w:val="28"/>
        <w:lang w:eastAsia="zh-CN"/>
      </w:rPr>
      <w:t>—</w:t>
    </w:r>
    <w:r>
      <w:rPr>
        <w:rFonts w:hint="eastAsia" w:eastAsia="宋体"/>
        <w:sz w:val="28"/>
        <w:szCs w:val="28"/>
        <w:lang w:val="en-US" w:eastAsia="zh-CN"/>
      </w:rPr>
      <w:t xml:space="preserve">  </w:t>
    </w:r>
    <w:r>
      <w:rPr>
        <w:rFonts w:hint="eastAsia" w:eastAsia="宋体"/>
        <w:sz w:val="28"/>
        <w:szCs w:val="28"/>
        <w:lang w:eastAsia="zh-CN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  <w:spacing w:beforeLines="0" w:afterLines="0"/>
      <w:rPr>
        <w:rFonts w:hint="default" w:eastAsia="Calibri"/>
        <w:sz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53882"/>
    <w:multiLevelType w:val="singleLevel"/>
    <w:tmpl w:val="0E653882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ODQ4NWM5ZjQwNmIyZTlkYWRhMTY1NzcyZGQzNDQifQ=="/>
  </w:docVars>
  <w:rsids>
    <w:rsidRoot w:val="75D92BA9"/>
    <w:rsid w:val="028963E4"/>
    <w:rsid w:val="06E87126"/>
    <w:rsid w:val="0F0C746F"/>
    <w:rsid w:val="0FD95454"/>
    <w:rsid w:val="111A57E0"/>
    <w:rsid w:val="12E03557"/>
    <w:rsid w:val="193A6730"/>
    <w:rsid w:val="1BBA0511"/>
    <w:rsid w:val="20144DD3"/>
    <w:rsid w:val="22861FB0"/>
    <w:rsid w:val="238F396C"/>
    <w:rsid w:val="241D19BD"/>
    <w:rsid w:val="3600264B"/>
    <w:rsid w:val="381B4253"/>
    <w:rsid w:val="387954A4"/>
    <w:rsid w:val="3BA6202B"/>
    <w:rsid w:val="423441AD"/>
    <w:rsid w:val="45084F4F"/>
    <w:rsid w:val="4CF31828"/>
    <w:rsid w:val="58E6430A"/>
    <w:rsid w:val="6107183A"/>
    <w:rsid w:val="619E05A3"/>
    <w:rsid w:val="62842051"/>
    <w:rsid w:val="6333739A"/>
    <w:rsid w:val="6F073967"/>
    <w:rsid w:val="7397692A"/>
    <w:rsid w:val="75D92BA9"/>
    <w:rsid w:val="FC75C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iPriority="99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index 5"/>
    <w:basedOn w:val="1"/>
    <w:next w:val="1"/>
    <w:unhideWhenUsed/>
    <w:qFormat/>
    <w:uiPriority w:val="99"/>
    <w:pPr>
      <w:spacing w:before="100" w:beforeLines="0" w:beforeAutospacing="1" w:after="100" w:afterLines="0" w:afterAutospacing="1"/>
      <w:ind w:left="1680"/>
    </w:pPr>
    <w:rPr>
      <w:rFonts w:hint="eastAsia"/>
      <w:sz w:val="21"/>
    </w:rPr>
  </w:style>
  <w:style w:type="paragraph" w:styleId="4">
    <w:name w:val="Body Text Indent"/>
    <w:basedOn w:val="1"/>
    <w:qFormat/>
    <w:uiPriority w:val="99"/>
    <w:pPr>
      <w:snapToGrid w:val="0"/>
      <w:spacing w:line="480" w:lineRule="exact"/>
      <w:ind w:right="-45" w:firstLine="480"/>
    </w:pPr>
    <w:rPr>
      <w:rFonts w:ascii="楷体_GB2312" w:eastAsia="楷体_GB2312"/>
      <w:spacing w:val="12"/>
      <w:sz w:val="24"/>
    </w:r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Body Text First Indent 2"/>
    <w:basedOn w:val="4"/>
    <w:next w:val="1"/>
    <w:qFormat/>
    <w:uiPriority w:val="99"/>
    <w:pPr>
      <w:snapToGrid/>
      <w:spacing w:line="240" w:lineRule="auto"/>
      <w:ind w:right="0" w:firstLine="0"/>
    </w:pPr>
    <w:rPr>
      <w:rFonts w:ascii="Times New Roman" w:eastAsia="宋体"/>
      <w:spacing w:val="0"/>
      <w:sz w:val="28"/>
    </w:rPr>
  </w:style>
  <w:style w:type="character" w:styleId="11">
    <w:name w:val="page number"/>
    <w:basedOn w:val="10"/>
    <w:unhideWhenUsed/>
    <w:qFormat/>
    <w:uiPriority w:val="99"/>
    <w:rPr>
      <w:rFonts w:hint="default" w:ascii="Times New Roman"/>
      <w:sz w:val="24"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paragraph" w:customStyle="1" w:styleId="14">
    <w:name w:val="Body Text First Indent 21"/>
    <w:basedOn w:val="15"/>
    <w:qFormat/>
    <w:uiPriority w:val="0"/>
    <w:pPr>
      <w:ind w:left="0" w:leftChars="0" w:firstLine="40"/>
    </w:pPr>
    <w:rPr>
      <w:rFonts w:ascii="仿宋_GB2312" w:hAnsi="仿宋_GB2312" w:eastAsia="仿宋" w:cs="仿宋_GB2312"/>
      <w:sz w:val="32"/>
      <w:szCs w:val="32"/>
    </w:rPr>
  </w:style>
  <w:style w:type="paragraph" w:customStyle="1" w:styleId="15">
    <w:name w:val="Body Text Indent1"/>
    <w:basedOn w:val="1"/>
    <w:qFormat/>
    <w:uiPriority w:val="0"/>
    <w:pPr>
      <w:spacing w:after="120"/>
      <w:ind w:left="420" w:leftChars="200"/>
    </w:pPr>
  </w:style>
  <w:style w:type="paragraph" w:customStyle="1" w:styleId="16">
    <w:name w:val="Body text|2"/>
    <w:basedOn w:val="1"/>
    <w:qFormat/>
    <w:uiPriority w:val="0"/>
    <w:pPr>
      <w:widowControl w:val="0"/>
      <w:shd w:val="clear" w:color="auto" w:fill="auto"/>
      <w:spacing w:line="575" w:lineRule="exact"/>
      <w:ind w:firstLine="6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7">
    <w:name w:val="纯文本1"/>
    <w:basedOn w:val="1"/>
    <w:qFormat/>
    <w:uiPriority w:val="0"/>
    <w:rPr>
      <w:rFonts w:ascii="宋体" w:hAnsi="Courier New" w:eastAsia="仿宋" w:cs="Courier New"/>
      <w:sz w:val="34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1573</Words>
  <Characters>1648</Characters>
  <Lines>0</Lines>
  <Paragraphs>0</Paragraphs>
  <TotalTime>20</TotalTime>
  <ScaleCrop>false</ScaleCrop>
  <LinksUpToDate>false</LinksUpToDate>
  <CharactersWithSpaces>1667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2022-07-18T11:04:00Z</dcterms:created>
  <dc:creator>jcdn</dc:creator>
  <cp:lastModifiedBy>baixin</cp:lastModifiedBy>
  <cp:lastPrinted>2024-05-21T14:40:00Z</cp:lastPrinted>
  <dcterms:modified xsi:type="dcterms:W3CDTF">2025-09-02T08:59:09Z</dcterms:modified>
  <dc:title>2022年迁西县建筑行业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ADF9B06857FF948B5D41B6683CDD642F</vt:lpwstr>
  </property>
</Properties>
</file>