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37ACD1">
      <w:pPr>
        <w:jc w:val="center"/>
        <w:rPr>
          <w:rFonts w:hint="eastAsia" w:ascii="方正小标宋_GBK" w:hAnsi="方正小标宋_GBK" w:eastAsia="方正小标宋_GBK" w:cs="方正小标宋_GBK"/>
          <w:sz w:val="36"/>
          <w:szCs w:val="36"/>
          <w:lang w:eastAsia="zh-CN"/>
        </w:rPr>
      </w:pPr>
      <w:bookmarkStart w:id="0" w:name="_GoBack"/>
      <w:bookmarkEnd w:id="0"/>
      <w:r>
        <w:rPr>
          <w:rFonts w:hint="eastAsia" w:ascii="方正小标宋_GBK" w:hAnsi="方正小标宋_GBK" w:eastAsia="方正小标宋_GBK" w:cs="方正小标宋_GBK"/>
          <w:sz w:val="36"/>
          <w:szCs w:val="36"/>
        </w:rPr>
        <w:t>河北省住房和城乡建设系统行政征收裁量权基准</w:t>
      </w:r>
      <w:r>
        <w:rPr>
          <w:rFonts w:hint="eastAsia" w:ascii="方正小标宋_GBK" w:hAnsi="方正小标宋_GBK" w:eastAsia="方正小标宋_GBK" w:cs="方正小标宋_GBK"/>
          <w:sz w:val="36"/>
          <w:szCs w:val="36"/>
          <w:lang w:eastAsia="zh-CN"/>
        </w:rPr>
        <w:t>（试行）</w:t>
      </w:r>
    </w:p>
    <w:tbl>
      <w:tblPr>
        <w:tblStyle w:val="2"/>
        <w:tblW w:w="1971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66"/>
        <w:gridCol w:w="1582"/>
        <w:gridCol w:w="4835"/>
        <w:gridCol w:w="1516"/>
        <w:gridCol w:w="3517"/>
        <w:gridCol w:w="3435"/>
        <w:gridCol w:w="2451"/>
        <w:gridCol w:w="1415"/>
      </w:tblGrid>
      <w:tr w14:paraId="6E9128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2" w:hRule="atLeast"/>
          <w:jc w:val="center"/>
        </w:trPr>
        <w:tc>
          <w:tcPr>
            <w:tcW w:w="966" w:type="dxa"/>
            <w:tcBorders>
              <w:top w:val="single" w:color="000000" w:sz="4" w:space="0"/>
              <w:left w:val="single" w:color="000000" w:sz="4" w:space="0"/>
              <w:bottom w:val="single" w:color="000000" w:sz="4" w:space="0"/>
              <w:right w:val="single" w:color="000000" w:sz="4" w:space="0"/>
            </w:tcBorders>
            <w:noWrap w:val="0"/>
            <w:vAlign w:val="center"/>
          </w:tcPr>
          <w:p w14:paraId="2DCDBCE9">
            <w:pPr>
              <w:keepNext w:val="0"/>
              <w:keepLines w:val="0"/>
              <w:widowControl/>
              <w:suppressLineNumbers w:val="0"/>
              <w:jc w:val="center"/>
              <w:textAlignment w:val="center"/>
              <w:rPr>
                <w:rFonts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序号</w:t>
            </w:r>
          </w:p>
        </w:tc>
        <w:tc>
          <w:tcPr>
            <w:tcW w:w="1582" w:type="dxa"/>
            <w:tcBorders>
              <w:top w:val="single" w:color="000000" w:sz="4" w:space="0"/>
              <w:left w:val="single" w:color="000000" w:sz="4" w:space="0"/>
              <w:bottom w:val="single" w:color="000000" w:sz="4" w:space="0"/>
              <w:right w:val="single" w:color="000000" w:sz="4" w:space="0"/>
            </w:tcBorders>
            <w:noWrap w:val="0"/>
            <w:vAlign w:val="center"/>
          </w:tcPr>
          <w:p w14:paraId="63DBBD82">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征收事项</w:t>
            </w:r>
          </w:p>
        </w:tc>
        <w:tc>
          <w:tcPr>
            <w:tcW w:w="4835" w:type="dxa"/>
            <w:tcBorders>
              <w:top w:val="single" w:color="000000" w:sz="4" w:space="0"/>
              <w:left w:val="single" w:color="000000" w:sz="4" w:space="0"/>
              <w:bottom w:val="single" w:color="000000" w:sz="4" w:space="0"/>
              <w:right w:val="single" w:color="000000" w:sz="4" w:space="0"/>
            </w:tcBorders>
            <w:noWrap w:val="0"/>
            <w:vAlign w:val="center"/>
          </w:tcPr>
          <w:p w14:paraId="21D89311">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法定依据</w:t>
            </w:r>
          </w:p>
        </w:tc>
        <w:tc>
          <w:tcPr>
            <w:tcW w:w="1516" w:type="dxa"/>
            <w:tcBorders>
              <w:top w:val="single" w:color="000000" w:sz="4" w:space="0"/>
              <w:left w:val="single" w:color="000000" w:sz="4" w:space="0"/>
              <w:bottom w:val="single" w:color="000000" w:sz="4" w:space="0"/>
              <w:right w:val="single" w:color="000000" w:sz="4" w:space="0"/>
            </w:tcBorders>
            <w:noWrap w:val="0"/>
            <w:vAlign w:val="center"/>
          </w:tcPr>
          <w:p w14:paraId="5E6E33EF">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征收对象</w:t>
            </w:r>
          </w:p>
        </w:tc>
        <w:tc>
          <w:tcPr>
            <w:tcW w:w="3517" w:type="dxa"/>
            <w:tcBorders>
              <w:top w:val="single" w:color="000000" w:sz="4" w:space="0"/>
              <w:left w:val="single" w:color="000000" w:sz="4" w:space="0"/>
              <w:bottom w:val="single" w:color="000000" w:sz="4" w:space="0"/>
              <w:right w:val="single" w:color="000000" w:sz="4" w:space="0"/>
            </w:tcBorders>
            <w:noWrap w:val="0"/>
            <w:vAlign w:val="center"/>
          </w:tcPr>
          <w:p w14:paraId="031BAF02">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征收条件</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4DE986BE">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征收程序</w:t>
            </w:r>
          </w:p>
        </w:tc>
        <w:tc>
          <w:tcPr>
            <w:tcW w:w="2451" w:type="dxa"/>
            <w:tcBorders>
              <w:top w:val="single" w:color="000000" w:sz="4" w:space="0"/>
              <w:left w:val="single" w:color="000000" w:sz="4" w:space="0"/>
              <w:bottom w:val="single" w:color="000000" w:sz="4" w:space="0"/>
              <w:right w:val="single" w:color="000000" w:sz="4" w:space="0"/>
            </w:tcBorders>
            <w:noWrap w:val="0"/>
            <w:vAlign w:val="center"/>
          </w:tcPr>
          <w:p w14:paraId="72CD4F33">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补偿标准</w:t>
            </w:r>
          </w:p>
        </w:tc>
        <w:tc>
          <w:tcPr>
            <w:tcW w:w="1415" w:type="dxa"/>
            <w:tcBorders>
              <w:top w:val="single" w:color="000000" w:sz="4" w:space="0"/>
              <w:left w:val="single" w:color="000000" w:sz="4" w:space="0"/>
              <w:bottom w:val="single" w:color="000000" w:sz="4" w:space="0"/>
              <w:right w:val="single" w:color="000000" w:sz="4" w:space="0"/>
            </w:tcBorders>
            <w:noWrap w:val="0"/>
            <w:vAlign w:val="center"/>
          </w:tcPr>
          <w:p w14:paraId="1BDA2B9F">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执法权限</w:t>
            </w:r>
          </w:p>
        </w:tc>
      </w:tr>
      <w:tr w14:paraId="446BD3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59" w:hRule="atLeast"/>
          <w:jc w:val="center"/>
        </w:trPr>
        <w:tc>
          <w:tcPr>
            <w:tcW w:w="966" w:type="dxa"/>
            <w:tcBorders>
              <w:top w:val="single" w:color="000000" w:sz="4" w:space="0"/>
              <w:left w:val="single" w:color="000000" w:sz="4" w:space="0"/>
              <w:bottom w:val="single" w:color="000000" w:sz="4" w:space="0"/>
              <w:right w:val="single" w:color="000000" w:sz="4" w:space="0"/>
            </w:tcBorders>
            <w:noWrap w:val="0"/>
            <w:vAlign w:val="center"/>
          </w:tcPr>
          <w:p w14:paraId="1FC2CD8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w:t>
            </w:r>
          </w:p>
        </w:tc>
        <w:tc>
          <w:tcPr>
            <w:tcW w:w="1582" w:type="dxa"/>
            <w:tcBorders>
              <w:top w:val="single" w:color="000000" w:sz="4" w:space="0"/>
              <w:left w:val="single" w:color="000000" w:sz="4" w:space="0"/>
              <w:bottom w:val="single" w:color="000000" w:sz="4" w:space="0"/>
              <w:right w:val="single" w:color="000000" w:sz="4" w:space="0"/>
            </w:tcBorders>
            <w:noWrap w:val="0"/>
            <w:vAlign w:val="center"/>
          </w:tcPr>
          <w:p w14:paraId="7F37EA8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国有土地上房屋征收</w:t>
            </w:r>
          </w:p>
        </w:tc>
        <w:tc>
          <w:tcPr>
            <w:tcW w:w="4835" w:type="dxa"/>
            <w:tcBorders>
              <w:top w:val="single" w:color="000000" w:sz="4" w:space="0"/>
              <w:left w:val="single" w:color="000000" w:sz="4" w:space="0"/>
              <w:bottom w:val="single" w:color="000000" w:sz="4" w:space="0"/>
              <w:right w:val="single" w:color="000000" w:sz="4" w:space="0"/>
            </w:tcBorders>
            <w:noWrap w:val="0"/>
            <w:vAlign w:val="center"/>
          </w:tcPr>
          <w:p w14:paraId="4BE3C3D6">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中华人民共和国城市房地产管理法》第六条：为了公共利益的需要，国家可以征收国有土地上单位和个人的房屋，并依法给予拆迁补偿，维护被征收人的合法权益；征收个人住宅的，还应当保障被征收人的居住条件。具体办法由国务院规定。</w:t>
            </w:r>
            <w:r>
              <w:rPr>
                <w:rFonts w:hint="eastAsia" w:ascii="方正仿宋_GBK" w:hAnsi="方正仿宋_GBK" w:eastAsia="方正仿宋_GBK" w:cs="方正仿宋_GBK"/>
                <w:i w:val="0"/>
                <w:iCs w:val="0"/>
                <w:color w:val="000000"/>
                <w:kern w:val="0"/>
                <w:sz w:val="24"/>
                <w:szCs w:val="24"/>
                <w:u w:val="none"/>
                <w:lang w:val="en-US" w:eastAsia="zh-CN" w:bidi="ar"/>
              </w:rPr>
              <w:br w:type="textWrapping"/>
            </w:r>
            <w:r>
              <w:rPr>
                <w:rFonts w:hint="eastAsia" w:ascii="方正仿宋_GBK" w:hAnsi="方正仿宋_GBK" w:eastAsia="方正仿宋_GBK" w:cs="方正仿宋_GBK"/>
                <w:i w:val="0"/>
                <w:iCs w:val="0"/>
                <w:color w:val="000000"/>
                <w:kern w:val="0"/>
                <w:sz w:val="24"/>
                <w:szCs w:val="24"/>
                <w:u w:val="none"/>
                <w:lang w:val="en-US" w:eastAsia="zh-CN" w:bidi="ar"/>
              </w:rPr>
              <w:t>2.《国有土地上房屋征收与补偿条例》第二条：为了公共利益的需要，征收国有土地上单位、个人的房屋，应当对被征收房屋所有权人给予公平补偿。</w:t>
            </w:r>
            <w:r>
              <w:rPr>
                <w:rFonts w:hint="eastAsia" w:ascii="方正仿宋_GBK" w:hAnsi="方正仿宋_GBK" w:eastAsia="方正仿宋_GBK" w:cs="方正仿宋_GBK"/>
                <w:i w:val="0"/>
                <w:iCs w:val="0"/>
                <w:color w:val="000000"/>
                <w:kern w:val="0"/>
                <w:sz w:val="24"/>
                <w:szCs w:val="24"/>
                <w:u w:val="none"/>
                <w:lang w:val="en-US" w:eastAsia="zh-CN" w:bidi="ar"/>
              </w:rPr>
              <w:br w:type="textWrapping"/>
            </w:r>
            <w:r>
              <w:rPr>
                <w:rFonts w:hint="eastAsia" w:ascii="方正仿宋_GBK" w:hAnsi="方正仿宋_GBK" w:eastAsia="方正仿宋_GBK" w:cs="方正仿宋_GBK"/>
                <w:i w:val="0"/>
                <w:iCs w:val="0"/>
                <w:color w:val="000000"/>
                <w:kern w:val="0"/>
                <w:sz w:val="24"/>
                <w:szCs w:val="24"/>
                <w:u w:val="none"/>
                <w:lang w:val="en-US" w:eastAsia="zh-CN" w:bidi="ar"/>
              </w:rPr>
              <w:t xml:space="preserve"> 3.《国有土地上房屋征收与补偿条例》第四条：市、县级人民政府负责本行政区域的房屋征收与补偿工作。市、县级人民政府确定的房屋征收部门组织实施本行政区域的房屋征收与补偿工作。市、县级人民政府有关部门应当依照本条例的规定和本级人民政府规定的职责分工，互相配合，保障房屋征收与补偿工作的顺利进行。</w:t>
            </w:r>
          </w:p>
        </w:tc>
        <w:tc>
          <w:tcPr>
            <w:tcW w:w="1516" w:type="dxa"/>
            <w:tcBorders>
              <w:top w:val="single" w:color="000000" w:sz="4" w:space="0"/>
              <w:left w:val="single" w:color="000000" w:sz="4" w:space="0"/>
              <w:bottom w:val="single" w:color="000000" w:sz="4" w:space="0"/>
              <w:right w:val="single" w:color="000000" w:sz="4" w:space="0"/>
            </w:tcBorders>
            <w:noWrap w:val="0"/>
            <w:vAlign w:val="center"/>
          </w:tcPr>
          <w:p w14:paraId="1D15E9D9">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国有土地上单位、个人的房屋</w:t>
            </w:r>
          </w:p>
        </w:tc>
        <w:tc>
          <w:tcPr>
            <w:tcW w:w="3517" w:type="dxa"/>
            <w:tcBorders>
              <w:top w:val="single" w:color="000000" w:sz="4" w:space="0"/>
              <w:left w:val="single" w:color="000000" w:sz="4" w:space="0"/>
              <w:bottom w:val="single" w:color="000000" w:sz="4" w:space="0"/>
              <w:right w:val="single" w:color="000000" w:sz="4" w:space="0"/>
            </w:tcBorders>
            <w:noWrap w:val="0"/>
            <w:vAlign w:val="center"/>
          </w:tcPr>
          <w:p w14:paraId="2A6FADC5">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1.国防和外交的需要；</w:t>
            </w:r>
            <w:r>
              <w:rPr>
                <w:rFonts w:hint="eastAsia" w:ascii="方正仿宋_GBK" w:hAnsi="方正仿宋_GBK" w:eastAsia="方正仿宋_GBK" w:cs="方正仿宋_GBK"/>
                <w:i w:val="0"/>
                <w:iCs w:val="0"/>
                <w:color w:val="000000"/>
                <w:kern w:val="0"/>
                <w:sz w:val="24"/>
                <w:szCs w:val="24"/>
                <w:u w:val="none"/>
                <w:lang w:val="en-US" w:eastAsia="zh-CN" w:bidi="ar"/>
              </w:rPr>
              <w:br w:type="textWrapping"/>
            </w:r>
            <w:r>
              <w:rPr>
                <w:rFonts w:hint="eastAsia" w:ascii="方正仿宋_GBK" w:hAnsi="方正仿宋_GBK" w:eastAsia="方正仿宋_GBK" w:cs="方正仿宋_GBK"/>
                <w:i w:val="0"/>
                <w:iCs w:val="0"/>
                <w:color w:val="000000"/>
                <w:kern w:val="0"/>
                <w:sz w:val="24"/>
                <w:szCs w:val="24"/>
                <w:u w:val="none"/>
                <w:lang w:val="en-US" w:eastAsia="zh-CN" w:bidi="ar"/>
              </w:rPr>
              <w:t>2.由政府组织实施的能源、交通、水利等基础设施建设的需要；</w:t>
            </w:r>
            <w:r>
              <w:rPr>
                <w:rFonts w:hint="eastAsia" w:ascii="方正仿宋_GBK" w:hAnsi="方正仿宋_GBK" w:eastAsia="方正仿宋_GBK" w:cs="方正仿宋_GBK"/>
                <w:i w:val="0"/>
                <w:iCs w:val="0"/>
                <w:color w:val="000000"/>
                <w:kern w:val="0"/>
                <w:sz w:val="24"/>
                <w:szCs w:val="24"/>
                <w:u w:val="none"/>
                <w:lang w:val="en-US" w:eastAsia="zh-CN" w:bidi="ar"/>
              </w:rPr>
              <w:br w:type="textWrapping"/>
            </w:r>
            <w:r>
              <w:rPr>
                <w:rFonts w:hint="eastAsia" w:ascii="方正仿宋_GBK" w:hAnsi="方正仿宋_GBK" w:eastAsia="方正仿宋_GBK" w:cs="方正仿宋_GBK"/>
                <w:i w:val="0"/>
                <w:iCs w:val="0"/>
                <w:color w:val="000000"/>
                <w:kern w:val="0"/>
                <w:sz w:val="24"/>
                <w:szCs w:val="24"/>
                <w:u w:val="none"/>
                <w:lang w:val="en-US" w:eastAsia="zh-CN" w:bidi="ar"/>
              </w:rPr>
              <w:t>3.由政府组织实施的科技、教育、文化、卫生、体育、环境和资源保护、防灾减灾、文物保护、社会福利、市政公用等公共事业的需要；</w:t>
            </w:r>
            <w:r>
              <w:rPr>
                <w:rFonts w:hint="eastAsia" w:ascii="方正仿宋_GBK" w:hAnsi="方正仿宋_GBK" w:eastAsia="方正仿宋_GBK" w:cs="方正仿宋_GBK"/>
                <w:i w:val="0"/>
                <w:iCs w:val="0"/>
                <w:color w:val="000000"/>
                <w:kern w:val="0"/>
                <w:sz w:val="24"/>
                <w:szCs w:val="24"/>
                <w:u w:val="none"/>
                <w:lang w:val="en-US" w:eastAsia="zh-CN" w:bidi="ar"/>
              </w:rPr>
              <w:br w:type="textWrapping"/>
            </w:r>
            <w:r>
              <w:rPr>
                <w:rFonts w:hint="eastAsia" w:ascii="方正仿宋_GBK" w:hAnsi="方正仿宋_GBK" w:eastAsia="方正仿宋_GBK" w:cs="方正仿宋_GBK"/>
                <w:i w:val="0"/>
                <w:iCs w:val="0"/>
                <w:color w:val="000000"/>
                <w:kern w:val="0"/>
                <w:sz w:val="24"/>
                <w:szCs w:val="24"/>
                <w:u w:val="none"/>
                <w:lang w:val="en-US" w:eastAsia="zh-CN" w:bidi="ar"/>
              </w:rPr>
              <w:t>4.由政府组织实施的保障性安居工程建设的需要；</w:t>
            </w:r>
            <w:r>
              <w:rPr>
                <w:rFonts w:hint="eastAsia" w:ascii="方正仿宋_GBK" w:hAnsi="方正仿宋_GBK" w:eastAsia="方正仿宋_GBK" w:cs="方正仿宋_GBK"/>
                <w:i w:val="0"/>
                <w:iCs w:val="0"/>
                <w:color w:val="000000"/>
                <w:kern w:val="0"/>
                <w:sz w:val="24"/>
                <w:szCs w:val="24"/>
                <w:u w:val="none"/>
                <w:lang w:val="en-US" w:eastAsia="zh-CN" w:bidi="ar"/>
              </w:rPr>
              <w:br w:type="textWrapping"/>
            </w:r>
            <w:r>
              <w:rPr>
                <w:rFonts w:hint="eastAsia" w:ascii="方正仿宋_GBK" w:hAnsi="方正仿宋_GBK" w:eastAsia="方正仿宋_GBK" w:cs="方正仿宋_GBK"/>
                <w:i w:val="0"/>
                <w:iCs w:val="0"/>
                <w:color w:val="000000"/>
                <w:kern w:val="0"/>
                <w:sz w:val="24"/>
                <w:szCs w:val="24"/>
                <w:u w:val="none"/>
                <w:lang w:val="en-US" w:eastAsia="zh-CN" w:bidi="ar"/>
              </w:rPr>
              <w:t>5.由政府依照城乡规划法有关规定组织实施的对危房集中、基础设施落后等地段进行旧城区改建的需要；</w:t>
            </w:r>
            <w:r>
              <w:rPr>
                <w:rFonts w:hint="eastAsia" w:ascii="方正仿宋_GBK" w:hAnsi="方正仿宋_GBK" w:eastAsia="方正仿宋_GBK" w:cs="方正仿宋_GBK"/>
                <w:i w:val="0"/>
                <w:iCs w:val="0"/>
                <w:color w:val="000000"/>
                <w:kern w:val="0"/>
                <w:sz w:val="24"/>
                <w:szCs w:val="24"/>
                <w:u w:val="none"/>
                <w:lang w:val="en-US" w:eastAsia="zh-CN" w:bidi="ar"/>
              </w:rPr>
              <w:br w:type="textWrapping"/>
            </w:r>
            <w:r>
              <w:rPr>
                <w:rFonts w:hint="eastAsia" w:ascii="方正仿宋_GBK" w:hAnsi="方正仿宋_GBK" w:eastAsia="方正仿宋_GBK" w:cs="方正仿宋_GBK"/>
                <w:i w:val="0"/>
                <w:iCs w:val="0"/>
                <w:color w:val="000000"/>
                <w:kern w:val="0"/>
                <w:sz w:val="24"/>
                <w:szCs w:val="24"/>
                <w:u w:val="none"/>
                <w:lang w:val="en-US" w:eastAsia="zh-CN" w:bidi="ar"/>
              </w:rPr>
              <w:t>6.法律、行政法规规定的其他公共利益的需要。</w:t>
            </w:r>
          </w:p>
        </w:tc>
        <w:tc>
          <w:tcPr>
            <w:tcW w:w="3435" w:type="dxa"/>
            <w:tcBorders>
              <w:top w:val="single" w:color="000000" w:sz="4" w:space="0"/>
              <w:left w:val="single" w:color="000000" w:sz="4" w:space="0"/>
              <w:bottom w:val="single" w:color="000000" w:sz="4" w:space="0"/>
              <w:right w:val="single" w:color="000000" w:sz="4" w:space="0"/>
            </w:tcBorders>
            <w:noWrap w:val="0"/>
            <w:vAlign w:val="center"/>
          </w:tcPr>
          <w:p w14:paraId="26F95BE4">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1.审查、确定征收项目；</w:t>
            </w:r>
            <w:r>
              <w:rPr>
                <w:rFonts w:hint="eastAsia" w:ascii="方正仿宋_GBK" w:hAnsi="方正仿宋_GBK" w:eastAsia="方正仿宋_GBK" w:cs="方正仿宋_GBK"/>
                <w:i w:val="0"/>
                <w:iCs w:val="0"/>
                <w:color w:val="000000"/>
                <w:kern w:val="0"/>
                <w:sz w:val="24"/>
                <w:szCs w:val="24"/>
                <w:u w:val="none"/>
                <w:lang w:val="en-US" w:eastAsia="zh-CN" w:bidi="ar"/>
              </w:rPr>
              <w:br w:type="textWrapping"/>
            </w:r>
            <w:r>
              <w:rPr>
                <w:rFonts w:hint="eastAsia" w:ascii="方正仿宋_GBK" w:hAnsi="方正仿宋_GBK" w:eastAsia="方正仿宋_GBK" w:cs="方正仿宋_GBK"/>
                <w:i w:val="0"/>
                <w:iCs w:val="0"/>
                <w:color w:val="000000"/>
                <w:kern w:val="0"/>
                <w:sz w:val="24"/>
                <w:szCs w:val="24"/>
                <w:u w:val="none"/>
                <w:lang w:val="en-US" w:eastAsia="zh-CN" w:bidi="ar"/>
              </w:rPr>
              <w:t>2.组织预评估；</w:t>
            </w:r>
            <w:r>
              <w:rPr>
                <w:rFonts w:hint="eastAsia" w:ascii="方正仿宋_GBK" w:hAnsi="方正仿宋_GBK" w:eastAsia="方正仿宋_GBK" w:cs="方正仿宋_GBK"/>
                <w:i w:val="0"/>
                <w:iCs w:val="0"/>
                <w:color w:val="000000"/>
                <w:kern w:val="0"/>
                <w:sz w:val="24"/>
                <w:szCs w:val="24"/>
                <w:u w:val="none"/>
                <w:lang w:val="en-US" w:eastAsia="zh-CN" w:bidi="ar"/>
              </w:rPr>
              <w:br w:type="textWrapping"/>
            </w:r>
            <w:r>
              <w:rPr>
                <w:rFonts w:hint="eastAsia" w:ascii="方正仿宋_GBK" w:hAnsi="方正仿宋_GBK" w:eastAsia="方正仿宋_GBK" w:cs="方正仿宋_GBK"/>
                <w:i w:val="0"/>
                <w:iCs w:val="0"/>
                <w:color w:val="000000"/>
                <w:kern w:val="0"/>
                <w:sz w:val="24"/>
                <w:szCs w:val="24"/>
                <w:u w:val="none"/>
                <w:lang w:val="en-US" w:eastAsia="zh-CN" w:bidi="ar"/>
              </w:rPr>
              <w:t>3.拟定、公布征收补偿方案；</w:t>
            </w:r>
            <w:r>
              <w:rPr>
                <w:rFonts w:hint="eastAsia" w:ascii="方正仿宋_GBK" w:hAnsi="方正仿宋_GBK" w:eastAsia="方正仿宋_GBK" w:cs="方正仿宋_GBK"/>
                <w:i w:val="0"/>
                <w:iCs w:val="0"/>
                <w:color w:val="000000"/>
                <w:kern w:val="0"/>
                <w:sz w:val="24"/>
                <w:szCs w:val="24"/>
                <w:u w:val="none"/>
                <w:lang w:val="en-US" w:eastAsia="zh-CN" w:bidi="ar"/>
              </w:rPr>
              <w:br w:type="textWrapping"/>
            </w:r>
            <w:r>
              <w:rPr>
                <w:rFonts w:hint="eastAsia" w:ascii="方正仿宋_GBK" w:hAnsi="方正仿宋_GBK" w:eastAsia="方正仿宋_GBK" w:cs="方正仿宋_GBK"/>
                <w:i w:val="0"/>
                <w:iCs w:val="0"/>
                <w:color w:val="000000"/>
                <w:kern w:val="0"/>
                <w:sz w:val="24"/>
                <w:szCs w:val="24"/>
                <w:u w:val="none"/>
                <w:lang w:val="en-US" w:eastAsia="zh-CN" w:bidi="ar"/>
              </w:rPr>
              <w:t>4.认定处理无证房屋，筹备补偿费用；</w:t>
            </w:r>
            <w:r>
              <w:rPr>
                <w:rFonts w:hint="eastAsia" w:ascii="方正仿宋_GBK" w:hAnsi="方正仿宋_GBK" w:eastAsia="方正仿宋_GBK" w:cs="方正仿宋_GBK"/>
                <w:i w:val="0"/>
                <w:iCs w:val="0"/>
                <w:color w:val="000000"/>
                <w:kern w:val="0"/>
                <w:sz w:val="24"/>
                <w:szCs w:val="24"/>
                <w:u w:val="none"/>
                <w:lang w:val="en-US" w:eastAsia="zh-CN" w:bidi="ar"/>
              </w:rPr>
              <w:br w:type="textWrapping"/>
            </w:r>
            <w:r>
              <w:rPr>
                <w:rFonts w:hint="eastAsia" w:ascii="方正仿宋_GBK" w:hAnsi="方正仿宋_GBK" w:eastAsia="方正仿宋_GBK" w:cs="方正仿宋_GBK"/>
                <w:i w:val="0"/>
                <w:iCs w:val="0"/>
                <w:color w:val="000000"/>
                <w:kern w:val="0"/>
                <w:sz w:val="24"/>
                <w:szCs w:val="24"/>
                <w:u w:val="none"/>
                <w:lang w:val="en-US" w:eastAsia="zh-CN" w:bidi="ar"/>
              </w:rPr>
              <w:t>5.做好房屋征收与补偿的宣传、解释工作；</w:t>
            </w:r>
            <w:r>
              <w:rPr>
                <w:rFonts w:hint="eastAsia" w:ascii="方正仿宋_GBK" w:hAnsi="方正仿宋_GBK" w:eastAsia="方正仿宋_GBK" w:cs="方正仿宋_GBK"/>
                <w:i w:val="0"/>
                <w:iCs w:val="0"/>
                <w:color w:val="000000"/>
                <w:kern w:val="0"/>
                <w:sz w:val="24"/>
                <w:szCs w:val="24"/>
                <w:u w:val="none"/>
                <w:lang w:val="en-US" w:eastAsia="zh-CN" w:bidi="ar"/>
              </w:rPr>
              <w:br w:type="textWrapping"/>
            </w:r>
            <w:r>
              <w:rPr>
                <w:rFonts w:hint="eastAsia" w:ascii="方正仿宋_GBK" w:hAnsi="方正仿宋_GBK" w:eastAsia="方正仿宋_GBK" w:cs="方正仿宋_GBK"/>
                <w:i w:val="0"/>
                <w:iCs w:val="0"/>
                <w:color w:val="000000"/>
                <w:kern w:val="0"/>
                <w:sz w:val="24"/>
                <w:szCs w:val="24"/>
                <w:u w:val="none"/>
                <w:lang w:val="en-US" w:eastAsia="zh-CN" w:bidi="ar"/>
              </w:rPr>
              <w:t>6.房屋调查登记；</w:t>
            </w:r>
            <w:r>
              <w:rPr>
                <w:rFonts w:hint="eastAsia" w:ascii="方正仿宋_GBK" w:hAnsi="方正仿宋_GBK" w:eastAsia="方正仿宋_GBK" w:cs="方正仿宋_GBK"/>
                <w:i w:val="0"/>
                <w:iCs w:val="0"/>
                <w:color w:val="000000"/>
                <w:kern w:val="0"/>
                <w:sz w:val="24"/>
                <w:szCs w:val="24"/>
                <w:u w:val="none"/>
                <w:lang w:val="en-US" w:eastAsia="zh-CN" w:bidi="ar"/>
              </w:rPr>
              <w:br w:type="textWrapping"/>
            </w:r>
            <w:r>
              <w:rPr>
                <w:rFonts w:hint="eastAsia" w:ascii="方正仿宋_GBK" w:hAnsi="方正仿宋_GBK" w:eastAsia="方正仿宋_GBK" w:cs="方正仿宋_GBK"/>
                <w:i w:val="0"/>
                <w:iCs w:val="0"/>
                <w:color w:val="000000"/>
                <w:kern w:val="0"/>
                <w:sz w:val="24"/>
                <w:szCs w:val="24"/>
                <w:u w:val="none"/>
                <w:lang w:val="en-US" w:eastAsia="zh-CN" w:bidi="ar"/>
              </w:rPr>
              <w:t>7.确定实施方案并组织实施。</w:t>
            </w:r>
          </w:p>
        </w:tc>
        <w:tc>
          <w:tcPr>
            <w:tcW w:w="2451" w:type="dxa"/>
            <w:tcBorders>
              <w:top w:val="single" w:color="000000" w:sz="4" w:space="0"/>
              <w:left w:val="single" w:color="000000" w:sz="4" w:space="0"/>
              <w:bottom w:val="single" w:color="000000" w:sz="4" w:space="0"/>
              <w:right w:val="single" w:color="000000" w:sz="4" w:space="0"/>
            </w:tcBorders>
            <w:noWrap w:val="0"/>
            <w:vAlign w:val="center"/>
          </w:tcPr>
          <w:p w14:paraId="667205DC">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国有土地上房屋征收与补偿条例》第十九条第一款：对被征收房屋价值的补偿，不得低于房屋征收决定公告之日被征收房屋类似房地产的市场价格。被征收房屋的价值，由具有相应资质的房地产价格评估机构按照房屋征收评估办法评估确定。</w:t>
            </w:r>
          </w:p>
        </w:tc>
        <w:tc>
          <w:tcPr>
            <w:tcW w:w="1415" w:type="dxa"/>
            <w:tcBorders>
              <w:top w:val="single" w:color="000000" w:sz="4" w:space="0"/>
              <w:left w:val="single" w:color="000000" w:sz="4" w:space="0"/>
              <w:bottom w:val="single" w:color="000000" w:sz="4" w:space="0"/>
              <w:right w:val="single" w:color="000000" w:sz="4" w:space="0"/>
            </w:tcBorders>
            <w:noWrap w:val="0"/>
            <w:vAlign w:val="center"/>
          </w:tcPr>
          <w:p w14:paraId="0587AAC8">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设区的市、县（市、区）级人民政府确定的房屋征收部门，组织实施本行政区域的房屋征收与补偿工作。</w:t>
            </w:r>
          </w:p>
        </w:tc>
      </w:tr>
    </w:tbl>
    <w:p w14:paraId="05557813">
      <w:pPr>
        <w:jc w:val="center"/>
        <w:rPr>
          <w:rFonts w:hint="eastAsia" w:ascii="方正小标宋_GBK" w:hAnsi="方正小标宋_GBK" w:eastAsia="方正小标宋_GBK" w:cs="方正小标宋_GBK"/>
          <w:sz w:val="36"/>
          <w:szCs w:val="36"/>
        </w:rPr>
      </w:pPr>
    </w:p>
    <w:sectPr>
      <w:pgSz w:w="23811" w:h="16837" w:orient="landscape"/>
      <w:pgMar w:top="1587" w:right="2098" w:bottom="1474" w:left="198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2000000000000000000"/>
    <w:charset w:val="86"/>
    <w:family w:val="auto"/>
    <w:pitch w:val="default"/>
    <w:sig w:usb0="A00002BF" w:usb1="38CF7CFA" w:usb2="00082016" w:usb3="00000000" w:csb0="00040001" w:csb1="00000000"/>
  </w:font>
  <w:font w:name="方正黑体_GBK">
    <w:altName w:val="Arial Unicode MS"/>
    <w:panose1 w:val="02000000000000000000"/>
    <w:charset w:val="86"/>
    <w:family w:val="auto"/>
    <w:pitch w:val="default"/>
    <w:sig w:usb0="00000001" w:usb1="08000000" w:usb2="00000000" w:usb3="00000000" w:csb0="00040000" w:csb1="00000000"/>
  </w:font>
  <w:font w:name="方正仿宋_GBK">
    <w:altName w:val="Arial Unicode MS"/>
    <w:panose1 w:val="02000000000000000000"/>
    <w:charset w:val="86"/>
    <w:family w:val="auto"/>
    <w:pitch w:val="default"/>
    <w:sig w:usb0="00000001" w:usb1="08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000"/>
    <w:rsid w:val="3D7F6BAB"/>
    <w:rsid w:val="6FE81766"/>
    <w:rsid w:val="B5C6AF67"/>
    <w:rsid w:val="DF7FCE26"/>
    <w:rsid w:val="E2BD9F8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Style w:val="2"/>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2023-08-14T09:58:20Z</dcterms:created>
  <dc:creator>shenchao</dc:creator>
  <cp:lastModifiedBy>Administrator</cp:lastModifiedBy>
  <dcterms:modified xsi:type="dcterms:W3CDTF">2025-07-15T09:21:59Z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56B40541E034470284C7354E3E368943_13</vt:lpwstr>
  </property>
</Properties>
</file>