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4A" w:rsidRPr="00EE184C" w:rsidRDefault="00EE184C" w:rsidP="00EE184C">
      <w:pPr>
        <w:jc w:val="center"/>
        <w:rPr>
          <w:rFonts w:ascii="方正小标宋简体" w:eastAsia="方正小标宋简体" w:hint="eastAsia"/>
          <w:color w:val="333333"/>
          <w:sz w:val="28"/>
          <w:szCs w:val="28"/>
          <w:shd w:val="clear" w:color="auto" w:fill="FFFFFF"/>
        </w:rPr>
      </w:pPr>
      <w:r w:rsidRPr="00EE184C">
        <w:rPr>
          <w:rFonts w:ascii="方正小标宋简体" w:eastAsia="方正小标宋简体" w:hint="eastAsia"/>
          <w:color w:val="333333"/>
          <w:sz w:val="28"/>
          <w:szCs w:val="28"/>
          <w:shd w:val="clear" w:color="auto" w:fill="FFFFFF"/>
        </w:rPr>
        <w:t>迁西县</w:t>
      </w:r>
      <w:r w:rsidR="00C20F5F" w:rsidRPr="00EE184C">
        <w:rPr>
          <w:rFonts w:ascii="方正小标宋简体" w:eastAsia="方正小标宋简体" w:hint="eastAsia"/>
          <w:color w:val="333333"/>
          <w:sz w:val="28"/>
          <w:szCs w:val="28"/>
          <w:shd w:val="clear" w:color="auto" w:fill="FFFFFF"/>
        </w:rPr>
        <w:t>文化广电和旅游局涉企行政检查事项和依据</w:t>
      </w:r>
    </w:p>
    <w:tbl>
      <w:tblPr>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4212"/>
        <w:gridCol w:w="9099"/>
      </w:tblGrid>
      <w:tr w:rsidR="00FC214A">
        <w:tc>
          <w:tcPr>
            <w:tcW w:w="586" w:type="dxa"/>
            <w:vAlign w:val="center"/>
          </w:tcPr>
          <w:p w:rsidR="00FC214A" w:rsidRPr="00F0359F" w:rsidRDefault="00C20F5F">
            <w:pPr>
              <w:rPr>
                <w:rFonts w:ascii="方正仿宋简体" w:eastAsia="方正仿宋简体" w:hint="eastAsia"/>
                <w:szCs w:val="24"/>
              </w:rPr>
            </w:pPr>
            <w:r w:rsidRPr="00F0359F">
              <w:rPr>
                <w:rFonts w:ascii="方正仿宋简体" w:eastAsia="方正仿宋简体" w:hAnsi="SF Pro SC" w:hint="eastAsia"/>
                <w:color w:val="333333"/>
                <w:szCs w:val="24"/>
                <w:shd w:val="clear" w:color="auto" w:fill="FFFFFF"/>
              </w:rPr>
              <w:t>序号</w:t>
            </w:r>
          </w:p>
        </w:tc>
        <w:tc>
          <w:tcPr>
            <w:tcW w:w="4212" w:type="dxa"/>
            <w:vAlign w:val="center"/>
          </w:tcPr>
          <w:p w:rsidR="00FC214A" w:rsidRPr="00F0359F" w:rsidRDefault="00C20F5F">
            <w:pPr>
              <w:rPr>
                <w:rFonts w:ascii="方正仿宋简体" w:eastAsia="方正仿宋简体" w:hint="eastAsia"/>
                <w:szCs w:val="24"/>
              </w:rPr>
            </w:pPr>
            <w:r w:rsidRPr="00F0359F">
              <w:rPr>
                <w:rFonts w:ascii="方正仿宋简体" w:eastAsia="方正仿宋简体" w:hAnsi="SF Pro SC" w:hint="eastAsia"/>
                <w:color w:val="333333"/>
                <w:szCs w:val="24"/>
                <w:shd w:val="clear" w:color="auto" w:fill="FFFFFF"/>
              </w:rPr>
              <w:t>检查事项</w:t>
            </w:r>
          </w:p>
        </w:tc>
        <w:tc>
          <w:tcPr>
            <w:tcW w:w="9099" w:type="dxa"/>
            <w:vAlign w:val="center"/>
          </w:tcPr>
          <w:p w:rsidR="00FC214A" w:rsidRPr="00F0359F" w:rsidRDefault="00C20F5F">
            <w:pPr>
              <w:rPr>
                <w:rFonts w:ascii="方正仿宋简体" w:eastAsia="方正仿宋简体" w:hint="eastAsia"/>
                <w:szCs w:val="24"/>
              </w:rPr>
            </w:pPr>
            <w:r w:rsidRPr="00F0359F">
              <w:rPr>
                <w:rFonts w:ascii="方正仿宋简体" w:eastAsia="方正仿宋简体" w:hAnsi="SF Pro SC" w:hint="eastAsia"/>
                <w:color w:val="333333"/>
                <w:szCs w:val="24"/>
                <w:shd w:val="clear" w:color="auto" w:fill="FFFFFF"/>
              </w:rPr>
              <w:t>检查依据</w:t>
            </w:r>
          </w:p>
        </w:tc>
      </w:tr>
      <w:tr w:rsidR="00FC214A">
        <w:tc>
          <w:tcPr>
            <w:tcW w:w="586" w:type="dxa"/>
            <w:vAlign w:val="center"/>
          </w:tcPr>
          <w:p w:rsidR="00FC214A" w:rsidRPr="00F0359F" w:rsidRDefault="00C20F5F">
            <w:pPr>
              <w:rPr>
                <w:rFonts w:ascii="方正仿宋简体" w:eastAsia="方正仿宋简体" w:hint="eastAsia"/>
                <w:color w:val="333333"/>
                <w:szCs w:val="24"/>
                <w:shd w:val="clear" w:color="auto" w:fill="FFFFFF"/>
              </w:rPr>
            </w:pPr>
            <w:r w:rsidRPr="00F0359F">
              <w:rPr>
                <w:rFonts w:ascii="方正仿宋简体" w:eastAsia="方正仿宋简体" w:hint="eastAsia"/>
                <w:color w:val="333333"/>
                <w:szCs w:val="24"/>
                <w:shd w:val="clear" w:color="auto" w:fill="FFFFFF"/>
              </w:rPr>
              <w:t>1</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对娱乐场所日常经营活动的监督检查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《娱乐场所管理条例》</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第三条县级以上人民政府文化主管部门负责对娱乐场所日常经营活动的监督管理；县级以上公安部门负责对娱乐场所消防、治安状况的监督管理。</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2</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对营业性演出的检查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《营业性演出管理条例》</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第三十三条文化主管部门应当加强对营业性演出的监督管理。</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《营业性演出管理条例实施细则》</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第三十二条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文化和旅游主管部门或者文化市场综合执法机构检查营业性演出现场，应当出示行政执法证，演出举办单位应当配合。</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lastRenderedPageBreak/>
              <w:t>3</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艺术品经营活动的检查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《艺术品经营管理办法》</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第三条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文化部负责制定艺术品经营管理政策，监督管理全国艺术品经营活动，建立艺术品市场信用监管体系。</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省、自治区、直辖市人民政府文化行政部门负责艺术品进出口经营活动审批，建立专家委员会，为文化行政部门开展的内容审查、市场监管相关工作提供专业意见。</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4</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对互联网文化活动的检查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《互联网文化管理暂行规定》</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第六条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国务院文化和旅游主管部门负责制定互联网文化发展与管理的方针、政策和规划，监督管理全国互联网文化活动。</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省、自治区、直辖市人民政府文化行政部门对申请从事经营性互联网文化活动的单位进行审批，对从事非经营性互联网文化活动的单位进行备案。</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县级以上人民政府文化行政部门负责本行政区域内互联网文化活动的监督管理工作。县级以上人民政府文化行政部门或者文化市场综合执法机构对从事互联网文化活动违反国家有关法规的行为实施处罚。</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lastRenderedPageBreak/>
              <w:t>5</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对互联网上网服务营业场所经营单位经营活动的监督检查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《互联网上网服务营业场所管理条例》</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第四条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县级以上人民政府文化行政部门负责互联网上网服务营业场所经营单位的设立审批，并负责对依法设立的互联网上网服务营业场所经营单位经营活动的监督管理；</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6</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旅游市场监督检查</w:t>
            </w:r>
            <w:bookmarkStart w:id="0" w:name="_GoBack"/>
            <w:bookmarkEnd w:id="0"/>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《中华人民共和国旅游法》</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第八十三条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县级以上人民政府旅游主管部门和有关部门依照本法和有关法律、法规的规定，在各自职责范围内对旅游市场实施监督管理。</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县级以上人民政府应当组织旅游主管部门、有关主管部门和工商行政管理、产品质量监督、交通等执法部门对相关旅游经营行为实施监督检查。</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第八十五条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县级以上人民政府旅游主管部门有权对下列事项实施监督检</w:t>
            </w:r>
            <w:r w:rsidRPr="00F0359F">
              <w:rPr>
                <w:rFonts w:ascii="方正仿宋简体" w:eastAsia="方正仿宋简体" w:hAnsi="SF Pro SC" w:hint="eastAsia"/>
                <w:color w:val="333333"/>
                <w:szCs w:val="24"/>
                <w:shd w:val="clear" w:color="auto" w:fill="FFFFFF"/>
              </w:rPr>
              <w:t>查：（一）经营旅行社业务以及从事导游、领队服务是否取得经营、执业许可；（二）旅行社的经营行为；（三）导游和领队等旅游从业人员的服务行为；（四）法律、法规规定的其他事项。</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旅游主管部门依照前款规定实施监督检查，可以对涉嫌违法的合同、票据、账簿以及其他资料进行查阅、复制。</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7</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对旅游经营行为的检查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《中华人民共和国旅游法》</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第八十三条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县级以上人民政府旅游主管部门和有关部门依照本法和有关法律、法规的规定，在各自职责范围内对旅游市场实施监督管理。</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w:t>
            </w:r>
            <w:r w:rsidRPr="00F0359F">
              <w:rPr>
                <w:rFonts w:ascii="方正仿宋简体" w:eastAsia="方正仿宋简体" w:hAnsi="SF Pro SC" w:hint="eastAsia"/>
                <w:color w:val="333333"/>
                <w:szCs w:val="24"/>
                <w:shd w:val="clear" w:color="auto" w:fill="FFFFFF"/>
              </w:rPr>
              <w:lastRenderedPageBreak/>
              <w:t>级以上人民政府应当组织旅游主管部门、有关主管部门和工商行政管理</w:t>
            </w:r>
            <w:r w:rsidRPr="00F0359F">
              <w:rPr>
                <w:rFonts w:ascii="方正仿宋简体" w:eastAsia="方正仿宋简体" w:hAnsi="SF Pro SC" w:hint="eastAsia"/>
                <w:color w:val="333333"/>
                <w:szCs w:val="24"/>
                <w:shd w:val="clear" w:color="auto" w:fill="FFFFFF"/>
              </w:rPr>
              <w:t>、产品质量监督、交通等执法部门对相关旅游经营行为实施监督检查。</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第八十五条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旅游主管部门依照前款规定实施监督检查，可以对涉嫌违法的合同、票据、账簿以及其他资料进行查阅、复制。</w:t>
            </w:r>
          </w:p>
        </w:tc>
      </w:tr>
      <w:tr w:rsidR="00FC214A">
        <w:tc>
          <w:tcPr>
            <w:tcW w:w="586"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lastRenderedPageBreak/>
              <w:t>8</w:t>
            </w:r>
          </w:p>
        </w:tc>
        <w:tc>
          <w:tcPr>
            <w:tcW w:w="4212"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旅游行业安全生产监督检查</w:t>
            </w:r>
          </w:p>
        </w:tc>
        <w:tc>
          <w:tcPr>
            <w:tcW w:w="9099" w:type="dxa"/>
            <w:vAlign w:val="center"/>
          </w:tcPr>
          <w:p w:rsidR="00FC214A" w:rsidRPr="00F0359F" w:rsidRDefault="00C20F5F">
            <w:pPr>
              <w:rPr>
                <w:rFonts w:ascii="方正仿宋简体" w:eastAsia="方正仿宋简体" w:hAnsi="SF Pro SC" w:hint="eastAsia"/>
                <w:color w:val="333333"/>
                <w:szCs w:val="24"/>
                <w:shd w:val="clear" w:color="auto" w:fill="FFFFFF"/>
              </w:rPr>
            </w:pPr>
            <w:r w:rsidRPr="00F0359F">
              <w:rPr>
                <w:rFonts w:ascii="方正仿宋简体" w:eastAsia="方正仿宋简体" w:hAnsi="SF Pro SC" w:hint="eastAsia"/>
                <w:color w:val="333333"/>
                <w:szCs w:val="24"/>
                <w:shd w:val="clear" w:color="auto" w:fill="FFFFFF"/>
              </w:rPr>
              <w:t>《中华人民共和国旅游法》</w:t>
            </w:r>
            <w:r w:rsidRPr="00F0359F">
              <w:rPr>
                <w:rFonts w:ascii="方正仿宋简体" w:eastAsia="方正仿宋简体" w:hint="eastAsia"/>
                <w:szCs w:val="24"/>
              </w:rPr>
              <w:br/>
            </w:r>
            <w:r w:rsidRPr="00F0359F">
              <w:rPr>
                <w:rFonts w:ascii="方正仿宋简体" w:eastAsia="方正仿宋简体" w:hAnsi="SF Pro SC" w:hint="eastAsia"/>
                <w:color w:val="333333"/>
                <w:szCs w:val="24"/>
                <w:shd w:val="clear" w:color="auto" w:fill="FFFFFF"/>
              </w:rPr>
              <w:t>第七十六条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县级以上人民政府统一负责旅游安全工作。县级以</w:t>
            </w:r>
            <w:r w:rsidRPr="00F0359F">
              <w:rPr>
                <w:rFonts w:ascii="方正仿宋简体" w:eastAsia="方正仿宋简体" w:hAnsi="SF Pro SC" w:hint="eastAsia"/>
                <w:color w:val="333333"/>
                <w:szCs w:val="24"/>
                <w:shd w:val="clear" w:color="auto" w:fill="FFFFFF"/>
              </w:rPr>
              <w:t>上人民政府有关部门依照法律、法规履行旅游安全监管职责。</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《旅游安全管理办法》</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第三十三条</w:t>
            </w:r>
            <w:r w:rsidRPr="00F0359F">
              <w:rPr>
                <w:rFonts w:ascii="方正仿宋简体" w:eastAsia="方正仿宋简体" w:hAnsi="SF Pro SC" w:hint="eastAsia"/>
                <w:color w:val="333333"/>
                <w:szCs w:val="24"/>
                <w:shd w:val="clear" w:color="auto" w:fill="FFFFFF"/>
              </w:rPr>
              <w:t xml:space="preserve"> </w:t>
            </w:r>
            <w:r w:rsidRPr="00F0359F">
              <w:rPr>
                <w:rFonts w:ascii="方正仿宋简体" w:eastAsia="方正仿宋简体" w:hAnsi="SF Pro SC" w:hint="eastAsia"/>
                <w:color w:val="333333"/>
                <w:szCs w:val="24"/>
                <w:shd w:val="clear" w:color="auto" w:fill="FFFFFF"/>
              </w:rPr>
              <w:t>旅游经营者及其主要负责人、旅游从业人员违反法律、法规有关安全生产和突发事件应对规定的，依照相关法律、法规处理。</w:t>
            </w:r>
          </w:p>
        </w:tc>
      </w:tr>
    </w:tbl>
    <w:p w:rsidR="00FC214A" w:rsidRDefault="00FC214A">
      <w:pPr>
        <w:rPr>
          <w:rFonts w:ascii="方正黑体_GBK" w:eastAsia="方正黑体_GBK"/>
          <w:szCs w:val="24"/>
        </w:rPr>
      </w:pPr>
    </w:p>
    <w:sectPr w:rsidR="00FC214A" w:rsidSect="00FC214A">
      <w:pgSz w:w="16839" w:h="11907" w:orient="landscape"/>
      <w:pgMar w:top="1083" w:right="1440" w:bottom="1083" w:left="144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F5F" w:rsidRDefault="00C20F5F">
      <w:r>
        <w:separator/>
      </w:r>
    </w:p>
  </w:endnote>
  <w:endnote w:type="continuationSeparator" w:id="1">
    <w:p w:rsidR="00C20F5F" w:rsidRDefault="00C20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F Pro SC">
    <w:altName w:val="Times New Roman"/>
    <w:charset w:val="00"/>
    <w:family w:val="auto"/>
    <w:pitch w:val="default"/>
    <w:sig w:usb0="00000000" w:usb1="00000000" w:usb2="00000000" w:usb3="00000000" w:csb0="00000000" w:csb1="00000000"/>
  </w:font>
  <w:font w:name="方正黑体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F5F" w:rsidRDefault="00C20F5F">
      <w:r>
        <w:separator/>
      </w:r>
    </w:p>
  </w:footnote>
  <w:footnote w:type="continuationSeparator" w:id="1">
    <w:p w:rsidR="00C20F5F" w:rsidRDefault="00C20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FC214A"/>
    <w:rsid w:val="00C20F5F"/>
    <w:rsid w:val="00EE184C"/>
    <w:rsid w:val="00F0359F"/>
    <w:rsid w:val="00FC214A"/>
    <w:rsid w:val="6FE9E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14A"/>
    <w:pPr>
      <w:widowControl w:val="0"/>
    </w:pPr>
    <w:rPr>
      <w:rFonts w:ascii="宋体"/>
      <w:kern w:val="2"/>
      <w:sz w:val="24"/>
      <w:szCs w:val="21"/>
    </w:rPr>
  </w:style>
  <w:style w:type="paragraph" w:styleId="1">
    <w:name w:val="heading 1"/>
    <w:basedOn w:val="a"/>
    <w:next w:val="a"/>
    <w:qFormat/>
    <w:rsid w:val="00FC214A"/>
    <w:pPr>
      <w:keepNext/>
      <w:keepLines/>
      <w:spacing w:before="340" w:after="330" w:line="578" w:lineRule="auto"/>
      <w:outlineLvl w:val="0"/>
    </w:pPr>
    <w:rPr>
      <w:b/>
      <w:bCs/>
      <w:kern w:val="44"/>
      <w:sz w:val="44"/>
      <w:szCs w:val="44"/>
    </w:rPr>
  </w:style>
  <w:style w:type="paragraph" w:styleId="2">
    <w:name w:val="heading 2"/>
    <w:basedOn w:val="a"/>
    <w:next w:val="a"/>
    <w:qFormat/>
    <w:rsid w:val="00FC214A"/>
    <w:pPr>
      <w:keepNext/>
      <w:keepLines/>
      <w:spacing w:before="260" w:after="260" w:line="415" w:lineRule="auto"/>
      <w:outlineLvl w:val="1"/>
    </w:pPr>
    <w:rPr>
      <w:rFonts w:ascii="Times New Roman" w:eastAsia="黑体"/>
      <w:b/>
      <w:bCs/>
      <w:sz w:val="32"/>
      <w:szCs w:val="32"/>
    </w:rPr>
  </w:style>
  <w:style w:type="paragraph" w:styleId="3">
    <w:name w:val="heading 3"/>
    <w:basedOn w:val="a"/>
    <w:next w:val="a"/>
    <w:rsid w:val="00FC214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1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184C"/>
    <w:rPr>
      <w:rFonts w:ascii="宋体"/>
      <w:kern w:val="2"/>
      <w:sz w:val="18"/>
      <w:szCs w:val="18"/>
    </w:rPr>
  </w:style>
  <w:style w:type="paragraph" w:styleId="a4">
    <w:name w:val="footer"/>
    <w:basedOn w:val="a"/>
    <w:link w:val="Char0"/>
    <w:rsid w:val="00EE184C"/>
    <w:pPr>
      <w:tabs>
        <w:tab w:val="center" w:pos="4153"/>
        <w:tab w:val="right" w:pos="8306"/>
      </w:tabs>
      <w:snapToGrid w:val="0"/>
    </w:pPr>
    <w:rPr>
      <w:sz w:val="18"/>
      <w:szCs w:val="18"/>
    </w:rPr>
  </w:style>
  <w:style w:type="character" w:customStyle="1" w:styleId="Char0">
    <w:name w:val="页脚 Char"/>
    <w:basedOn w:val="a0"/>
    <w:link w:val="a4"/>
    <w:rsid w:val="00EE184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1510</Characters>
  <Application>Microsoft Office Word</Application>
  <DocSecurity>0</DocSecurity>
  <Lines>12</Lines>
  <Paragraphs>3</Paragraphs>
  <ScaleCrop>false</ScaleCrop>
  <Company>Sky123.Org</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Sky123.Org</cp:lastModifiedBy>
  <cp:revision>5</cp:revision>
  <dcterms:created xsi:type="dcterms:W3CDTF">2025-05-03T20:13:00Z</dcterms:created>
  <dcterms:modified xsi:type="dcterms:W3CDTF">2025-06-12T07:01:00Z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6FEABA28C2B52F36205E4268DD769CF5</vt:lpwstr>
  </property>
</Properties>
</file>