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迁西县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023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年国民经济和社会发展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（202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年，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全县上下在县委、县政府的正确领导下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，坚决贯彻落实党中央、国务院、省委省政府决策部署，坚持稳中求进工作总基调，完整、准确、全面贯彻新发展理念，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加快构建新发展格局，着力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推动高质量发展，切实增强经济活力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各项事业扎实有序推进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一、综合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初步核算，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全县完成地区生产总值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3434699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增长2.1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。其中，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第一产业增加值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226244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%；第二产业增加值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1972265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增长2.2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%；第三产业增加值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1236190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万元，增长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3.1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%。三次产业增加值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结构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: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57.4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: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36.0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二、农业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全县完成农业总产值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332007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4.2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%。其中，农业产值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188288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2.1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%；林业产值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6192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52.3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%；牧业产值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99172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%；渔业产值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22935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%；农林牧渔服务业产值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15420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3.6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40" w:leftChars="-19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粮食播种面积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1247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公顷，与上年持平。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粮食总产量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70448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吨，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比上年增长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1.0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%；油料总产量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4145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吨，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%；蔬菜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及食用菌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总产量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86803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吨，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4.6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园林水果产量38220吨，下降1.3%；食用坚果产量77496吨，增长5.2%。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年末肉类总产量产量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 xml:space="preserve">20540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 xml:space="preserve">下降1.7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%。其中，猪肉产量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14703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吨，增长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5.1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%；牛肉产量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2204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7.3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%；羊肉产量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2008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16.1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%；禽蛋产量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10511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下降22.3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三、工业和建筑业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全部工业增加值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1688704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%，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其中规模以上工业增加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值增长1.8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在规模以上工业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增加值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中，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高新技术产业增加值下降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2.6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%，占规模以上工业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增加值的12.9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年末规模以上工业企业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家，其中年内新建投产企业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在规模以上工业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增加值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中，分门类看，采矿业增加值比上年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 xml:space="preserve">增长13.5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%，制造业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增长1.1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%，电力、热力、燃气及水生产和供应业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增长239.4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%。分行业看，黑色金属矿采选业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增长15.4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%，农副食品加工业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 xml:space="preserve">下降71.5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%，化学原料和化学制品制造业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增长52.2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%，非金属矿物制品业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下降14.2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%，黑色金属冶炼和压延加工业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增长2.2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%，电力、热力生产和供应业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增长2.6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铁矿石成品矿产量254万吨，比上年下降29.2%，铁矿石铁精矿产量243万吨，下降27.9%，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生铁产量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639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下降12.9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%；粗钢产量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656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万吨，下降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7.6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%；钢材产量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748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增长3.6%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，其中H型钢产量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439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下降3.2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%，钢带产量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309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增长15.1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规模以上工业企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业营业收入完成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5793400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下降10.3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其中，采矿业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276879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27.4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%；制造业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5489380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下降9.3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电力、热力、燃气及水生产和供应业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27141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 xml:space="preserve">增长28.1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%。全年规模以上工业企业利润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亏损2332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其中，采矿业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亏损11881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万元；制造业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利润2424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增长218.8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电力、热力、燃气及水生产和供应业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利润7126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97.5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全年建筑业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增加值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289917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增长4.4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%。具有资质等级建筑业企业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家，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具有资质等级的总承包和专业承包建筑业企业房屋施工面积314396平方米，下降23.4%；房屋竣工面积99892平方米，下降39.8%。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四、固定资产投资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年全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社会固定资产投资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 xml:space="preserve">增长14.7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，其中固定资产投资（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不含农户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增长14.9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在固定资产投资中，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全年建设项目投资比上年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增长20.4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%，房地产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开发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下降22.5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%，其中住宅投资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下降28.4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分产业看，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第一产业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增长255.7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；第二产业投资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15.1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%；第三产业投资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%。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三次产业投资结构为8.1:61.6：30.3。工业投资增长15.1%，其中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工业技术改造投资增长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22.7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在工业投资中，采矿业投资下降35.3%，制造业投资增长27.7%，电力、热力、燃气及水的供应业增长4.1%。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高新技术产业投资增长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16.9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%，战略新兴产业投资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增长27.2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%，基础设施投资下降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2.8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%，民间投资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增长12.5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%，占固定资产投资比重为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59.5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全年固定资产投资施工项目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106个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，比上年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增长1.0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%，其中本年新开工项目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47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个，比上年下降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28.8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%。在施工项目中，总投资亿元以上项目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个，比上年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下降25.5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%，完成投资额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增长10.1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%。本年新开工亿元以上项目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个，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下降72.7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%，完成投资额下降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40.1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交通运输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邮电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年末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全县公路通车总里程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1639.371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公里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其中高速公路通车里程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33.912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公里，国道通车里程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61.242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公里，省道通车里程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119.782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公里，县道通车里程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90.39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公里，乡道通车里程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386.813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公里，农村公路通车里程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981.144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全县邮电业务总收入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26088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。其中，邮政业务收入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4706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万元；电信业务收入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21382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年末全县拥有固定电话用户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户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移动电话用户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47.9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万户，电视用户1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万户，互联网宽带接入用户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13.1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、国内贸易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40" w:leftChars="-19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</w:pP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社会消费品零售总额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实现753276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8.3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40" w:leftChars="-19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限额以上单位消费品零售额19295万元，比上年增长11.3%。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、对外经济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和旅游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全年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进出口总额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830181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万元，比上年下降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2.6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%。其中，出口额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26825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下降17.0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%；进口额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803356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2.0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实际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外资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美元，比上年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增长136.4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全年接待游客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801.14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万人次，实现旅游综合收入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56.08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财政、税收、金融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全部预算收入完成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243992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增长88.9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公共财政预算收入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157827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增长31.2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公共预算支出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363118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增长8.8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全年税收收入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179178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万元，比上年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增长187.1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金融系统各项存款余额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5165798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万元，比年初增加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338989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各项贷款余额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3138977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万元，比年初增加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722822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全县其中六家保险机构保费收入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38362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%；赔付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金额15102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增长20.5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九、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城镇建设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和环境保护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绿地面积达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716.42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公顷，人均公园绿地面积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16.12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平方米，绿化覆盖率达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44.27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%。城区新增集中供热面积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45.47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万平方米，城区集中供热面积达到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614.17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万平方米，集中供热率达到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天然气管线总里程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190.3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公里。污水集中处理率达到99.9%，生活垃圾无害化处理率达到100%。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全年空气质量综合指数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4.11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，比上年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增长4.85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%。优良天数2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天，比上年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减少35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天。细颗粒物（PM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vertAlign w:val="subscript"/>
          <w:lang w:val="en-US" w:eastAsia="zh-CN"/>
        </w:rPr>
        <w:t>2.5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）年均浓度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微克/立方米，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增长14.29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%；可吸入颗粒物（PM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）年均浓度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微克/立方米，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增长10.91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十、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科技、教育、文化、广播、卫生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年末拥有高新技术企业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家，其中本年新增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家。拥有市级以上技术创新中心6家，省级院士工作站1家。全年专利授权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197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项，发明专利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拥有各级各类学校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所，在校生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69114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人，各类学校专职教师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103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全县拥有文化馆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1个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文化站18个，基层文化服务业中心427个，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图书馆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个，总藏书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万册。拥有广播电台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座，电视台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座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广播人口覆盖率和电视人口覆盖率均达到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全县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拥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有各类医疗机构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个。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其中，医院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7个，乡镇卫生院17个，农村卫生室4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个。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卫生技术人员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3033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其中，执业（助理）医师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1270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人，注册护士1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286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人。全年总诊疗人次8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0.39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十一、人民生活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城镇居民人均可支配收入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51588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比上年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6.4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农村居民人均可支配收入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25248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7.1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城镇人均消费性支出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31971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元，增长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9.1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农村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人均消费性支出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17328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元，增长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5.</w:t>
      </w:r>
      <w:bookmarkStart w:id="0" w:name="_GoBack"/>
      <w:bookmarkEnd w:id="0"/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全县企业基本养老保险覆盖人数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万人，机关事业基本养老保险覆盖人数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1.7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万人，城乡居民基本养老保险覆盖人数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20.4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万人。城乡基本医疗保险覆盖人数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35.1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万人，其中城镇职工参保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5.4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万人，城乡居民参保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29.7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万人。失业保险覆盖人数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4.1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万人。工伤保险覆盖人数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5.4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十二、人 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全县年末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常住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人口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364169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其中城镇人口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204918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人。常住人口城镇化率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56.27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 ，比上年提高0.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全年出生人口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2103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人，人口出生率为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‰；全年死亡人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口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2981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人，人口死亡率为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7.66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‰；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自然增长人口减少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878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人，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自然增长率为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-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2.26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 xml:space="preserve">‰。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1、本公报202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年数据为快报统计数据。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、公报中地区生产总值、各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增加值绝对量按当年价格计算，增长速度按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不变价格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、规模以上工业企业为年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主营业务收入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2000万元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 xml:space="preserve">以上的工业法人企业。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、公报中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部分数据来源于相关部门。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45AD"/>
    <w:rsid w:val="00884F82"/>
    <w:rsid w:val="00C7566E"/>
    <w:rsid w:val="00FB5A88"/>
    <w:rsid w:val="01062B19"/>
    <w:rsid w:val="014937B8"/>
    <w:rsid w:val="016E3A2F"/>
    <w:rsid w:val="018A34B1"/>
    <w:rsid w:val="01B2427D"/>
    <w:rsid w:val="01CE7D7F"/>
    <w:rsid w:val="01E759F2"/>
    <w:rsid w:val="02216537"/>
    <w:rsid w:val="027E2360"/>
    <w:rsid w:val="02D609C0"/>
    <w:rsid w:val="033518A0"/>
    <w:rsid w:val="03466463"/>
    <w:rsid w:val="035707A3"/>
    <w:rsid w:val="042005AA"/>
    <w:rsid w:val="04204C3E"/>
    <w:rsid w:val="042E73CC"/>
    <w:rsid w:val="051C529F"/>
    <w:rsid w:val="055C63F0"/>
    <w:rsid w:val="05A16CC8"/>
    <w:rsid w:val="060C0011"/>
    <w:rsid w:val="06814236"/>
    <w:rsid w:val="06CE51DC"/>
    <w:rsid w:val="06F36247"/>
    <w:rsid w:val="06FA50CB"/>
    <w:rsid w:val="07461D7E"/>
    <w:rsid w:val="07900AB3"/>
    <w:rsid w:val="07975071"/>
    <w:rsid w:val="07C4604E"/>
    <w:rsid w:val="08BB02BD"/>
    <w:rsid w:val="08C8428F"/>
    <w:rsid w:val="095E1CE6"/>
    <w:rsid w:val="09EB6A6E"/>
    <w:rsid w:val="0A161BCB"/>
    <w:rsid w:val="0A553F55"/>
    <w:rsid w:val="0A570337"/>
    <w:rsid w:val="0ACD0540"/>
    <w:rsid w:val="0B5830B1"/>
    <w:rsid w:val="0B606CC0"/>
    <w:rsid w:val="0B875778"/>
    <w:rsid w:val="0BA84B8E"/>
    <w:rsid w:val="0C1E5564"/>
    <w:rsid w:val="0C2B4DB0"/>
    <w:rsid w:val="0C9C1CCD"/>
    <w:rsid w:val="0D377CF2"/>
    <w:rsid w:val="0D4865F0"/>
    <w:rsid w:val="0D772150"/>
    <w:rsid w:val="0DAF3064"/>
    <w:rsid w:val="0E10664A"/>
    <w:rsid w:val="0E2C3DA9"/>
    <w:rsid w:val="0E2E79A1"/>
    <w:rsid w:val="0F377829"/>
    <w:rsid w:val="0F635362"/>
    <w:rsid w:val="0FDF1900"/>
    <w:rsid w:val="10AD3964"/>
    <w:rsid w:val="10FB5ECA"/>
    <w:rsid w:val="114E464A"/>
    <w:rsid w:val="11853849"/>
    <w:rsid w:val="11C931D0"/>
    <w:rsid w:val="12010BA2"/>
    <w:rsid w:val="12220200"/>
    <w:rsid w:val="12D658FD"/>
    <w:rsid w:val="134F7CFB"/>
    <w:rsid w:val="1436225D"/>
    <w:rsid w:val="14C55042"/>
    <w:rsid w:val="14EE25F6"/>
    <w:rsid w:val="14FD2A7C"/>
    <w:rsid w:val="154E2DFA"/>
    <w:rsid w:val="155C561A"/>
    <w:rsid w:val="15DC5005"/>
    <w:rsid w:val="182B033F"/>
    <w:rsid w:val="182E2859"/>
    <w:rsid w:val="184820FF"/>
    <w:rsid w:val="18561F5B"/>
    <w:rsid w:val="188867EA"/>
    <w:rsid w:val="18A9269F"/>
    <w:rsid w:val="190F7BDE"/>
    <w:rsid w:val="1950784C"/>
    <w:rsid w:val="19A267EE"/>
    <w:rsid w:val="1AE30C34"/>
    <w:rsid w:val="1B242741"/>
    <w:rsid w:val="1B3A6577"/>
    <w:rsid w:val="1B4759D3"/>
    <w:rsid w:val="1B4B5C73"/>
    <w:rsid w:val="1B7E47E1"/>
    <w:rsid w:val="1C4B7F8F"/>
    <w:rsid w:val="1C4F7CEB"/>
    <w:rsid w:val="1CCE787A"/>
    <w:rsid w:val="1D6F3ACA"/>
    <w:rsid w:val="1D807B09"/>
    <w:rsid w:val="1E1E254E"/>
    <w:rsid w:val="1E501C73"/>
    <w:rsid w:val="1EB72724"/>
    <w:rsid w:val="1F7D7DD2"/>
    <w:rsid w:val="1FCF6CA5"/>
    <w:rsid w:val="1FD44878"/>
    <w:rsid w:val="1FEE79B8"/>
    <w:rsid w:val="200D7E29"/>
    <w:rsid w:val="201D0D6C"/>
    <w:rsid w:val="20B27C1F"/>
    <w:rsid w:val="20E14482"/>
    <w:rsid w:val="21A173D9"/>
    <w:rsid w:val="21E863D0"/>
    <w:rsid w:val="22386FCF"/>
    <w:rsid w:val="237E3C76"/>
    <w:rsid w:val="23AA0CF6"/>
    <w:rsid w:val="23C217DF"/>
    <w:rsid w:val="241B4A23"/>
    <w:rsid w:val="24231213"/>
    <w:rsid w:val="24A27909"/>
    <w:rsid w:val="24C660CD"/>
    <w:rsid w:val="25220B7C"/>
    <w:rsid w:val="268E3AEE"/>
    <w:rsid w:val="269C5738"/>
    <w:rsid w:val="26A564F3"/>
    <w:rsid w:val="26BE0070"/>
    <w:rsid w:val="275312D0"/>
    <w:rsid w:val="27706831"/>
    <w:rsid w:val="27945C71"/>
    <w:rsid w:val="28C33A6E"/>
    <w:rsid w:val="28DC0B99"/>
    <w:rsid w:val="290C45F4"/>
    <w:rsid w:val="292723E4"/>
    <w:rsid w:val="29C21B7A"/>
    <w:rsid w:val="29C84ABD"/>
    <w:rsid w:val="2A5810E0"/>
    <w:rsid w:val="2AA9445C"/>
    <w:rsid w:val="2AC57918"/>
    <w:rsid w:val="2B0F04F3"/>
    <w:rsid w:val="2B903F18"/>
    <w:rsid w:val="2BCB02CF"/>
    <w:rsid w:val="2BE324E7"/>
    <w:rsid w:val="2BFD756C"/>
    <w:rsid w:val="2D2D5D34"/>
    <w:rsid w:val="2D4A2C4A"/>
    <w:rsid w:val="2DAE77FD"/>
    <w:rsid w:val="2DB45043"/>
    <w:rsid w:val="2F475870"/>
    <w:rsid w:val="2F4A03FF"/>
    <w:rsid w:val="2FF465D4"/>
    <w:rsid w:val="300079CB"/>
    <w:rsid w:val="309F1D01"/>
    <w:rsid w:val="31034C1B"/>
    <w:rsid w:val="31253BF9"/>
    <w:rsid w:val="316A1B90"/>
    <w:rsid w:val="31AA4522"/>
    <w:rsid w:val="31DD4639"/>
    <w:rsid w:val="32462B65"/>
    <w:rsid w:val="3266174E"/>
    <w:rsid w:val="3379743C"/>
    <w:rsid w:val="3442260C"/>
    <w:rsid w:val="34556113"/>
    <w:rsid w:val="34E27721"/>
    <w:rsid w:val="354E2718"/>
    <w:rsid w:val="35B76F35"/>
    <w:rsid w:val="35E0501B"/>
    <w:rsid w:val="361F652C"/>
    <w:rsid w:val="36D1669E"/>
    <w:rsid w:val="37D4345E"/>
    <w:rsid w:val="38310285"/>
    <w:rsid w:val="384C0D61"/>
    <w:rsid w:val="384F7C1C"/>
    <w:rsid w:val="39345350"/>
    <w:rsid w:val="396111F1"/>
    <w:rsid w:val="39650B8B"/>
    <w:rsid w:val="39773F24"/>
    <w:rsid w:val="3A5E4C06"/>
    <w:rsid w:val="3B310299"/>
    <w:rsid w:val="3C3E3D99"/>
    <w:rsid w:val="3C923BD0"/>
    <w:rsid w:val="3D32263A"/>
    <w:rsid w:val="3DDA163B"/>
    <w:rsid w:val="3ECF1C1C"/>
    <w:rsid w:val="3EE5696E"/>
    <w:rsid w:val="3F567B2D"/>
    <w:rsid w:val="401A79D7"/>
    <w:rsid w:val="405B484B"/>
    <w:rsid w:val="408B0B37"/>
    <w:rsid w:val="40BE58DD"/>
    <w:rsid w:val="411460E9"/>
    <w:rsid w:val="413E01A2"/>
    <w:rsid w:val="41680C9D"/>
    <w:rsid w:val="41803AF7"/>
    <w:rsid w:val="420144D4"/>
    <w:rsid w:val="42580986"/>
    <w:rsid w:val="427C1D20"/>
    <w:rsid w:val="429918D3"/>
    <w:rsid w:val="43316763"/>
    <w:rsid w:val="43355846"/>
    <w:rsid w:val="43843F68"/>
    <w:rsid w:val="43AD25AA"/>
    <w:rsid w:val="440E00C1"/>
    <w:rsid w:val="44215329"/>
    <w:rsid w:val="44234C22"/>
    <w:rsid w:val="443E4B18"/>
    <w:rsid w:val="445718F3"/>
    <w:rsid w:val="449520E2"/>
    <w:rsid w:val="44A27B6F"/>
    <w:rsid w:val="44BD463C"/>
    <w:rsid w:val="459E5F49"/>
    <w:rsid w:val="45A823BC"/>
    <w:rsid w:val="45AF4F18"/>
    <w:rsid w:val="45B95CB7"/>
    <w:rsid w:val="45FE5AED"/>
    <w:rsid w:val="464378B4"/>
    <w:rsid w:val="467E2CC2"/>
    <w:rsid w:val="468068B9"/>
    <w:rsid w:val="47A17067"/>
    <w:rsid w:val="47C16F10"/>
    <w:rsid w:val="493C0C59"/>
    <w:rsid w:val="495528F5"/>
    <w:rsid w:val="49E70CB8"/>
    <w:rsid w:val="4A2B2872"/>
    <w:rsid w:val="4A6D38B6"/>
    <w:rsid w:val="4A78598D"/>
    <w:rsid w:val="4B425DA7"/>
    <w:rsid w:val="4B443296"/>
    <w:rsid w:val="4B9C0E79"/>
    <w:rsid w:val="4BA5623B"/>
    <w:rsid w:val="4BB6057B"/>
    <w:rsid w:val="4C4D55A8"/>
    <w:rsid w:val="4D7F59F9"/>
    <w:rsid w:val="4D943B16"/>
    <w:rsid w:val="4DFC4D65"/>
    <w:rsid w:val="4E046AFB"/>
    <w:rsid w:val="4EE6021B"/>
    <w:rsid w:val="4EF23189"/>
    <w:rsid w:val="4F013997"/>
    <w:rsid w:val="4F664560"/>
    <w:rsid w:val="4FAF3652"/>
    <w:rsid w:val="50B576FA"/>
    <w:rsid w:val="51033D6C"/>
    <w:rsid w:val="514266A4"/>
    <w:rsid w:val="5164422D"/>
    <w:rsid w:val="516914A9"/>
    <w:rsid w:val="51E4632D"/>
    <w:rsid w:val="5243654E"/>
    <w:rsid w:val="52D14A8A"/>
    <w:rsid w:val="52E826ED"/>
    <w:rsid w:val="53442B09"/>
    <w:rsid w:val="53C330FF"/>
    <w:rsid w:val="53CF009E"/>
    <w:rsid w:val="54145B16"/>
    <w:rsid w:val="547C5799"/>
    <w:rsid w:val="54ED4085"/>
    <w:rsid w:val="5501474B"/>
    <w:rsid w:val="553E4C09"/>
    <w:rsid w:val="55B267A3"/>
    <w:rsid w:val="55DB6D7F"/>
    <w:rsid w:val="56143C07"/>
    <w:rsid w:val="5634146D"/>
    <w:rsid w:val="56342282"/>
    <w:rsid w:val="56575930"/>
    <w:rsid w:val="56673886"/>
    <w:rsid w:val="56C77ACF"/>
    <w:rsid w:val="572A7D65"/>
    <w:rsid w:val="576E2790"/>
    <w:rsid w:val="578B4CE2"/>
    <w:rsid w:val="5856124F"/>
    <w:rsid w:val="587773BF"/>
    <w:rsid w:val="5927171F"/>
    <w:rsid w:val="59D164CC"/>
    <w:rsid w:val="59D47E96"/>
    <w:rsid w:val="59E166B1"/>
    <w:rsid w:val="5AA057E6"/>
    <w:rsid w:val="5AAD66BF"/>
    <w:rsid w:val="5AE420F8"/>
    <w:rsid w:val="5AF54438"/>
    <w:rsid w:val="5B420748"/>
    <w:rsid w:val="5B5334D3"/>
    <w:rsid w:val="5B7E4345"/>
    <w:rsid w:val="5BAC601B"/>
    <w:rsid w:val="5BD04DAB"/>
    <w:rsid w:val="5C73651F"/>
    <w:rsid w:val="5D2062B4"/>
    <w:rsid w:val="5D857E90"/>
    <w:rsid w:val="5DB04B0A"/>
    <w:rsid w:val="5DF5021A"/>
    <w:rsid w:val="5E085F6D"/>
    <w:rsid w:val="5E7E24F3"/>
    <w:rsid w:val="5F4B10AE"/>
    <w:rsid w:val="5FB33A15"/>
    <w:rsid w:val="5FEB5588"/>
    <w:rsid w:val="603A2E0B"/>
    <w:rsid w:val="60E83B57"/>
    <w:rsid w:val="60E865C2"/>
    <w:rsid w:val="6103205B"/>
    <w:rsid w:val="61226476"/>
    <w:rsid w:val="615E350C"/>
    <w:rsid w:val="616B74DF"/>
    <w:rsid w:val="617D2C1C"/>
    <w:rsid w:val="61DA7202"/>
    <w:rsid w:val="628B424D"/>
    <w:rsid w:val="6339207A"/>
    <w:rsid w:val="634B51F0"/>
    <w:rsid w:val="635079C4"/>
    <w:rsid w:val="636E6F14"/>
    <w:rsid w:val="63A0425A"/>
    <w:rsid w:val="6410138C"/>
    <w:rsid w:val="64BA7F8D"/>
    <w:rsid w:val="64DA4DFD"/>
    <w:rsid w:val="64F16B88"/>
    <w:rsid w:val="64F901BD"/>
    <w:rsid w:val="64FB0F03"/>
    <w:rsid w:val="650A79A5"/>
    <w:rsid w:val="65AD4666"/>
    <w:rsid w:val="66610136"/>
    <w:rsid w:val="67220DBB"/>
    <w:rsid w:val="681136F1"/>
    <w:rsid w:val="68AD45AD"/>
    <w:rsid w:val="692F20B3"/>
    <w:rsid w:val="698D62C0"/>
    <w:rsid w:val="69962E01"/>
    <w:rsid w:val="69985A20"/>
    <w:rsid w:val="69B32F4B"/>
    <w:rsid w:val="6B1F7CCC"/>
    <w:rsid w:val="6B487874"/>
    <w:rsid w:val="6B7D2B75"/>
    <w:rsid w:val="6BDB2FB8"/>
    <w:rsid w:val="6BEF1E38"/>
    <w:rsid w:val="6C1F0BDB"/>
    <w:rsid w:val="6C250856"/>
    <w:rsid w:val="6C9D2309"/>
    <w:rsid w:val="6D1E4827"/>
    <w:rsid w:val="6D425027"/>
    <w:rsid w:val="6DF078CD"/>
    <w:rsid w:val="6F01477B"/>
    <w:rsid w:val="6F352175"/>
    <w:rsid w:val="6F4A59C9"/>
    <w:rsid w:val="6FCA222C"/>
    <w:rsid w:val="70D55578"/>
    <w:rsid w:val="70F060A8"/>
    <w:rsid w:val="71C827F2"/>
    <w:rsid w:val="71D00A9E"/>
    <w:rsid w:val="723F341D"/>
    <w:rsid w:val="727D7959"/>
    <w:rsid w:val="728D0A61"/>
    <w:rsid w:val="733D66C4"/>
    <w:rsid w:val="734051DE"/>
    <w:rsid w:val="736947F1"/>
    <w:rsid w:val="73C06C9F"/>
    <w:rsid w:val="73C34ECC"/>
    <w:rsid w:val="74540E54"/>
    <w:rsid w:val="747A69BE"/>
    <w:rsid w:val="74D056BC"/>
    <w:rsid w:val="75665792"/>
    <w:rsid w:val="760C7A7D"/>
    <w:rsid w:val="76144E1B"/>
    <w:rsid w:val="765A5FC7"/>
    <w:rsid w:val="77EF6980"/>
    <w:rsid w:val="7809325E"/>
    <w:rsid w:val="78834864"/>
    <w:rsid w:val="78F05CD1"/>
    <w:rsid w:val="79A032FE"/>
    <w:rsid w:val="79FF3FA4"/>
    <w:rsid w:val="7A2014EE"/>
    <w:rsid w:val="7A205E29"/>
    <w:rsid w:val="7A7726DF"/>
    <w:rsid w:val="7AE77ACA"/>
    <w:rsid w:val="7B266F7E"/>
    <w:rsid w:val="7B4A0436"/>
    <w:rsid w:val="7B943BC3"/>
    <w:rsid w:val="7C0C44F9"/>
    <w:rsid w:val="7C5E4864"/>
    <w:rsid w:val="7C7D7CB4"/>
    <w:rsid w:val="7CFE25B4"/>
    <w:rsid w:val="7D4E451E"/>
    <w:rsid w:val="7D9171CA"/>
    <w:rsid w:val="7DCA16D8"/>
    <w:rsid w:val="7E193AA5"/>
    <w:rsid w:val="7E1C49BD"/>
    <w:rsid w:val="7E8E697B"/>
    <w:rsid w:val="7EA129B8"/>
    <w:rsid w:val="7EFB52BC"/>
    <w:rsid w:val="7F617E42"/>
    <w:rsid w:val="7F6D2097"/>
    <w:rsid w:val="7FA6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2019-04-29T08:43:00Z</dcterms:created>
  <dc:creator>侯侯</dc:creator>
  <cp:lastModifiedBy>lenovo</cp:lastModifiedBy>
  <cp:lastPrinted>2024-05-15T00:17:00Z</cp:lastPrinted>
  <dcterms:modified xsi:type="dcterms:W3CDTF">2025-06-11T01:44:27Z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