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18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2" w:name="_GoBack"/>
      <w:bookmarkEnd w:id="2"/>
      <w:r>
        <w:rPr>
          <w:rFonts w:hint="eastAsia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  <w:t>迁西县</w:t>
      </w:r>
      <w:r>
        <w:rPr>
          <w:rFonts w:hint="eastAsia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  <w:t>第五次</w:t>
      </w:r>
      <w:r>
        <w:rPr>
          <w:rFonts w:hint="eastAsia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  <w:t>全国</w:t>
      </w:r>
      <w:r>
        <w:rPr>
          <w:rFonts w:hint="eastAsia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  <w:t>经济普查公报（第四号）</w:t>
      </w:r>
    </w:p>
    <w:p w14:paraId="3907B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  <w:t>——第三产业基本情况之一</w:t>
      </w:r>
    </w:p>
    <w:p w14:paraId="6C323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楷体_GBK" w:cs="方正楷体_GBK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迁西县</w:t>
      </w:r>
      <w:r>
        <w:rPr>
          <w:rFonts w:hint="eastAsia" w:ascii="Times New Roman" w:hAnsi="Times New Roman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统计局</w:t>
      </w:r>
    </w:p>
    <w:p w14:paraId="688BD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楷体_GBK" w:cs="方正楷体_GBK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迁西县</w:t>
      </w:r>
      <w:r>
        <w:rPr>
          <w:rFonts w:hint="eastAsia" w:ascii="Times New Roman" w:hAnsi="Times New Roman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第五次</w:t>
      </w:r>
      <w:r>
        <w:rPr>
          <w:rFonts w:hint="eastAsia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全国</w:t>
      </w:r>
      <w:r>
        <w:rPr>
          <w:rFonts w:hint="eastAsia" w:ascii="Times New Roman" w:hAnsi="Times New Roman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经济普查领导小组办公室</w:t>
      </w:r>
    </w:p>
    <w:p w14:paraId="41CB6AD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cs="Times New Roman"/>
          <w:color w:val="0C0C0C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方正楷体_GBK" w:cs="Times New Roman"/>
          <w:color w:val="0C0C0C"/>
          <w:kern w:val="2"/>
          <w:sz w:val="32"/>
          <w:szCs w:val="32"/>
          <w:lang w:val="en-US" w:eastAsia="zh-CN" w:bidi="ar-SA"/>
        </w:rPr>
        <w:t>）</w:t>
      </w:r>
    </w:p>
    <w:p w14:paraId="140119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cs="Times New Roman"/>
          <w:color w:val="0C0C0C"/>
          <w:kern w:val="2"/>
          <w:sz w:val="32"/>
          <w:szCs w:val="32"/>
          <w:u w:val="none"/>
          <w:lang w:val="en-US" w:eastAsia="zh-CN" w:bidi="ar-SA"/>
        </w:rPr>
      </w:pPr>
    </w:p>
    <w:p w14:paraId="3EBC25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eastAsia" w:ascii="Times New Roman" w:hAnsi="Times New Roman" w:cs="Times New Roman"/>
          <w:color w:val="0C0C0C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根据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迁西县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第五次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全国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经济普查结果，现将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全县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第三产业中批发和零售业，交通运输、仓储和邮政业，住宿和餐饮业，信息传输、软件和信息技术服务业，金融业，房地产业，租赁和商务服务业的主要数据公布如下：</w:t>
      </w:r>
    </w:p>
    <w:p w14:paraId="6BA5C9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一、批发和零售业</w:t>
      </w:r>
    </w:p>
    <w:p w14:paraId="54AB83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 w14:paraId="0A3A8A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Times New Roman" w:hAnsi="Times New Roman" w:cs="Times New Roman"/>
          <w:color w:val="0C0C0C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2023年末，全</w:t>
      </w:r>
      <w:r>
        <w:rPr>
          <w:rFonts w:hint="eastAsia" w:cs="Times New Roman"/>
          <w:color w:val="0C0C0C"/>
          <w:spacing w:val="-6"/>
          <w:sz w:val="32"/>
          <w:szCs w:val="32"/>
          <w:u w:val="none"/>
          <w:lang w:val="en-US" w:eastAsia="zh-CN"/>
        </w:rPr>
        <w:t>县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共有批发和零售业企业法人单位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1278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个，从业人员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7722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人。</w:t>
      </w:r>
    </w:p>
    <w:p w14:paraId="1DD26D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在批发和零售业企业法人单位中，批发业占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57.2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%，零售业占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42.8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%。在批发和零售业企业法人单位从业人员中，批发业占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61.3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%，零售业占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38.7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%（详见表4-1）。</w:t>
      </w:r>
    </w:p>
    <w:p w14:paraId="35AE89F6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44F20C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　按行业中类分组的批发和零售业企业法人单位数和从业人员</w:t>
      </w:r>
    </w:p>
    <w:tbl>
      <w:tblPr>
        <w:tblStyle w:val="1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1"/>
        <w:gridCol w:w="1780"/>
        <w:gridCol w:w="1310"/>
      </w:tblGrid>
      <w:tr w14:paraId="2B35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DE0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02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F22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062BF9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75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A3ECD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4BB7E9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（人）</w:t>
            </w:r>
          </w:p>
        </w:tc>
      </w:tr>
      <w:tr w14:paraId="444E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E67C0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275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1278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AF7D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7722</w:t>
            </w:r>
          </w:p>
        </w:tc>
      </w:tr>
      <w:tr w14:paraId="7A28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2D487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批发业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C21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731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17A2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4735</w:t>
            </w:r>
          </w:p>
        </w:tc>
      </w:tr>
      <w:tr w14:paraId="557D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1A184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农、林、牧、渔产品批发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5D9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32 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136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180 </w:t>
            </w:r>
          </w:p>
        </w:tc>
      </w:tr>
      <w:tr w14:paraId="6FCEF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CBB8A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食品、饮料及烟草制品批发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C1B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326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4AB7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1854</w:t>
            </w:r>
          </w:p>
        </w:tc>
      </w:tr>
      <w:tr w14:paraId="5C87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ACF84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纺织、服装及家庭用品批发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9D9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18 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0994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119 </w:t>
            </w:r>
          </w:p>
        </w:tc>
      </w:tr>
      <w:tr w14:paraId="64E0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A2332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文化、体育用品及器材批发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F94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 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4041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8 </w:t>
            </w:r>
          </w:p>
        </w:tc>
      </w:tr>
      <w:tr w14:paraId="63DB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5F025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医药及医疗器材批发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E532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 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26A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42 </w:t>
            </w:r>
          </w:p>
        </w:tc>
      </w:tr>
      <w:tr w14:paraId="1807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FA88B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矿产品、建材及化工产品批发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CA5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181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A8FA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1360</w:t>
            </w:r>
          </w:p>
        </w:tc>
      </w:tr>
      <w:tr w14:paraId="128D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C9A10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机械设备、五金产品及电子产品批发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0C95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115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AB24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856</w:t>
            </w:r>
          </w:p>
        </w:tc>
      </w:tr>
      <w:tr w14:paraId="78EC8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0B99F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贸易经纪与代理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C2EB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 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5271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 </w:t>
            </w:r>
          </w:p>
        </w:tc>
      </w:tr>
      <w:tr w14:paraId="7051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5DF33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其他批发业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ADE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51 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FE9D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311 </w:t>
            </w:r>
          </w:p>
        </w:tc>
      </w:tr>
      <w:tr w14:paraId="2CDF9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D19DB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零售业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FDC0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547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B908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2987</w:t>
            </w:r>
          </w:p>
        </w:tc>
      </w:tr>
      <w:tr w14:paraId="3EA2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08478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综合零售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0E96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63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57AD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373</w:t>
            </w:r>
          </w:p>
        </w:tc>
      </w:tr>
      <w:tr w14:paraId="2080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1C7C1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食品、饮料及烟草制品专门零售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AE68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89 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DCAC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495 </w:t>
            </w:r>
          </w:p>
        </w:tc>
      </w:tr>
      <w:tr w14:paraId="5461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8F953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纺织、服装及日用品专门零售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A185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34 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072A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241 </w:t>
            </w:r>
          </w:p>
        </w:tc>
      </w:tr>
      <w:tr w14:paraId="1C4C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EF854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文化、体育用品及器材专门零售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5086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16 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5223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71 </w:t>
            </w:r>
          </w:p>
        </w:tc>
      </w:tr>
      <w:tr w14:paraId="093D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32743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医药及医疗器材专门零售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C266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102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72A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585</w:t>
            </w:r>
          </w:p>
        </w:tc>
      </w:tr>
      <w:tr w14:paraId="651C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3BA49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汽车、摩托车、零配件和燃料及其他动力销售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BA3C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137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9049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696</w:t>
            </w:r>
          </w:p>
        </w:tc>
      </w:tr>
      <w:tr w14:paraId="674F7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78F08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家用电器及电子产品专门零售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614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4C91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192</w:t>
            </w:r>
          </w:p>
        </w:tc>
      </w:tr>
      <w:tr w14:paraId="726D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ACB2A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五金、家具及室内装饰材料专门零售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0B7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67 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DB64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314 </w:t>
            </w:r>
          </w:p>
        </w:tc>
      </w:tr>
      <w:tr w14:paraId="618C4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21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398CF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货摊、无店铺及其他零售业</w:t>
            </w:r>
          </w:p>
        </w:tc>
        <w:tc>
          <w:tcPr>
            <w:tcW w:w="1026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F17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6 </w:t>
            </w:r>
          </w:p>
        </w:tc>
        <w:tc>
          <w:tcPr>
            <w:tcW w:w="755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1DDE6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20 </w:t>
            </w:r>
          </w:p>
        </w:tc>
      </w:tr>
    </w:tbl>
    <w:p w14:paraId="623D34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</w:pPr>
    </w:p>
    <w:p w14:paraId="0D9ED1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在批发和零售业企业法人单位中，内资企业占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80.1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%，港澳台投资企业占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0.1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%。</w:t>
      </w:r>
    </w:p>
    <w:p w14:paraId="290E9D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在批发和零售业企业法人单位从业人员中，内资企业占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83.5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%（详见表4-2）。</w:t>
      </w:r>
    </w:p>
    <w:p w14:paraId="5B84765B">
      <w:pPr>
        <w:rPr>
          <w:rFonts w:hint="eastAsia"/>
          <w:lang w:val="en-US" w:eastAsia="zh-CN"/>
        </w:rPr>
      </w:pPr>
    </w:p>
    <w:p w14:paraId="63C98CE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表4-2　按登记注册统计类别分组的批发和零售业</w:t>
      </w:r>
    </w:p>
    <w:p w14:paraId="386392A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企业法人单位数和从业人员</w:t>
      </w:r>
    </w:p>
    <w:tbl>
      <w:tblPr>
        <w:tblStyle w:val="1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2688"/>
        <w:gridCol w:w="2296"/>
      </w:tblGrid>
      <w:tr w14:paraId="1EE2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BA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50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26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219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314B34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leftChars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22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D4A4D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3EE50A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leftChars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4DA1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212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A1422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496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1278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F327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7722</w:t>
            </w:r>
          </w:p>
        </w:tc>
      </w:tr>
      <w:tr w14:paraId="36E5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8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F9DB5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44E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1024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3C86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6447</w:t>
            </w:r>
          </w:p>
        </w:tc>
      </w:tr>
      <w:tr w14:paraId="52FA3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8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B47A9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  <w:t>港澳台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投资企业</w:t>
            </w: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6867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D3A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        0</w:t>
            </w:r>
          </w:p>
        </w:tc>
      </w:tr>
      <w:tr w14:paraId="6FFC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8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B0D43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外商投资企业</w:t>
            </w:r>
          </w:p>
        </w:tc>
        <w:tc>
          <w:tcPr>
            <w:tcW w:w="155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D009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EC59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6FE1D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8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2F7D5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其他统计类别</w:t>
            </w: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C332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253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11FA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1275</w:t>
            </w:r>
          </w:p>
        </w:tc>
      </w:tr>
    </w:tbl>
    <w:p w14:paraId="1161F3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 w14:paraId="04A16B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 w14:paraId="0F11B4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center"/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2023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年末，批发和零售业企业法人单位资产总计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522158</w:t>
      </w:r>
      <w:r>
        <w:rPr>
          <w:rFonts w:hint="eastAsia" w:cs="Times New Roman"/>
          <w:color w:val="0C0C0C"/>
          <w:spacing w:val="-6"/>
          <w:sz w:val="32"/>
          <w:szCs w:val="32"/>
          <w:u w:val="none"/>
          <w:lang w:val="en-US" w:eastAsia="zh-CN"/>
        </w:rPr>
        <w:t>万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元；负债合计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386702万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元。</w:t>
      </w:r>
    </w:p>
    <w:p w14:paraId="2A521A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2023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年，批发和零售业企业法人单位全年实现营业收入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887827万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元（详见表</w:t>
      </w:r>
      <w:r>
        <w:rPr>
          <w:rFonts w:hint="eastAsia" w:ascii="Times New Roman" w:hAnsi="Times New Roman" w:eastAsia="方正仿宋_GBK" w:cs="Times New Roman"/>
          <w:color w:val="0C0C0C"/>
          <w:kern w:val="2"/>
          <w:sz w:val="32"/>
          <w:szCs w:val="32"/>
          <w:u w:val="none"/>
          <w:lang w:val="en-US" w:eastAsia="zh-CN" w:bidi="ar-SA"/>
        </w:rPr>
        <w:t>4-3</w:t>
      </w:r>
      <w:r>
        <w:rPr>
          <w:rFonts w:hint="eastAsia" w:ascii="Times New Roman" w:hAnsi="Times New Roman" w:cs="Times New Roman"/>
          <w:color w:val="0C0C0C"/>
          <w:spacing w:val="-6"/>
          <w:sz w:val="32"/>
          <w:szCs w:val="32"/>
          <w:u w:val="none"/>
          <w:lang w:val="en-US" w:eastAsia="zh-CN"/>
        </w:rPr>
        <w:t>）。</w:t>
      </w:r>
    </w:p>
    <w:p w14:paraId="62D199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表4-3　按行业中类分组的批发和零售业</w:t>
      </w:r>
    </w:p>
    <w:p w14:paraId="0316472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     企业法人单位主要经济指标</w:t>
      </w:r>
    </w:p>
    <w:tbl>
      <w:tblPr>
        <w:tblStyle w:val="1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1490"/>
        <w:gridCol w:w="1490"/>
        <w:gridCol w:w="1485"/>
      </w:tblGrid>
      <w:tr w14:paraId="64DCF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25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F48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50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85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382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 w14:paraId="0E7FBE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85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653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 w14:paraId="1B40D7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  <w:tc>
          <w:tcPr>
            <w:tcW w:w="85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2E73E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 w14:paraId="2847EC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元）</w:t>
            </w:r>
          </w:p>
        </w:tc>
      </w:tr>
      <w:tr w14:paraId="5D85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2042C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A816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522158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0A5B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386702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B305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887827</w:t>
            </w:r>
          </w:p>
        </w:tc>
      </w:tr>
      <w:tr w14:paraId="2F730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A59FC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批发业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F4C5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448705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BAFE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346095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E3D2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792305</w:t>
            </w:r>
          </w:p>
        </w:tc>
      </w:tr>
      <w:tr w14:paraId="5163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293F1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农、林、牧、渔产品批发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C1D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8893 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FEE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1680 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725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7377 </w:t>
            </w:r>
          </w:p>
        </w:tc>
      </w:tr>
      <w:tr w14:paraId="7A56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D1ADE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食品、饮料及烟草制品批发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BECE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48852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1545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17361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DD4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89514</w:t>
            </w:r>
          </w:p>
        </w:tc>
      </w:tr>
      <w:tr w14:paraId="56733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1F830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纺织、服装及家庭用品批发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D47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2313 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FC7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1522 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426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5982 </w:t>
            </w:r>
          </w:p>
        </w:tc>
      </w:tr>
      <w:tr w14:paraId="5572F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0652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文化、体育用品及器材批发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139E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35 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3ACD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0  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9A0E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268 </w:t>
            </w:r>
          </w:p>
        </w:tc>
      </w:tr>
      <w:tr w14:paraId="0AF1B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9E72B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医药及医疗器材批发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5323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3185 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409D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580 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D204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2188 </w:t>
            </w:r>
          </w:p>
        </w:tc>
      </w:tr>
      <w:tr w14:paraId="480E7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D5FE6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矿产品、建材及化工产品批发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DF9A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319943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78A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284356 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6B67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603117</w:t>
            </w:r>
          </w:p>
        </w:tc>
      </w:tr>
      <w:tr w14:paraId="0190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08713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机械设备、五金产品及电子产品批发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00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60916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3DE6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38786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92F2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71583</w:t>
            </w:r>
          </w:p>
        </w:tc>
      </w:tr>
      <w:tr w14:paraId="056B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B144C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贸易经纪与代理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470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27 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94F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0  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1F8D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75 </w:t>
            </w:r>
          </w:p>
        </w:tc>
      </w:tr>
      <w:tr w14:paraId="7590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5BCED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其他批发业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2E6A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4541 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EF58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1810 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2604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12201 </w:t>
            </w:r>
          </w:p>
        </w:tc>
      </w:tr>
      <w:tr w14:paraId="6DE1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BCE65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零售业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F70C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73453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0F34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40607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3687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95522</w:t>
            </w:r>
          </w:p>
        </w:tc>
      </w:tr>
      <w:tr w14:paraId="02BF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36D78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综合零售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FCA5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7694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F5F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5560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D1E3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15633</w:t>
            </w:r>
          </w:p>
        </w:tc>
      </w:tr>
      <w:tr w14:paraId="2997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8CF86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食品、饮料及烟草制品专门零售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A0B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15086 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9DF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10950 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151C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10523 </w:t>
            </w:r>
          </w:p>
        </w:tc>
      </w:tr>
      <w:tr w14:paraId="5D02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9EA0F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纺织、服装及日用品专门零售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DB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2154 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8DD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610 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2A3A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4367 </w:t>
            </w:r>
          </w:p>
        </w:tc>
      </w:tr>
      <w:tr w14:paraId="7CBC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3DB07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文化、体育用品及器材专门零售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561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8485 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42D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3900 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984A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1571 </w:t>
            </w:r>
          </w:p>
        </w:tc>
      </w:tr>
      <w:tr w14:paraId="05CA9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8076A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医药及医疗器材专门零售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2F7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8639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3E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4771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0D5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20043</w:t>
            </w:r>
          </w:p>
        </w:tc>
      </w:tr>
      <w:tr w14:paraId="42A1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8A69A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汽车、摩托车、零配件和燃料及其他动力销售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36E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16328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351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5429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F2AF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24667</w:t>
            </w:r>
          </w:p>
        </w:tc>
      </w:tr>
      <w:tr w14:paraId="756F3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62436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家用电器及电子产品专门零售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AC5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8175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9BA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3148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3CFC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8058</w:t>
            </w:r>
          </w:p>
        </w:tc>
      </w:tr>
      <w:tr w14:paraId="357B0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84895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五金、家具及室内装饰材料专门零售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7671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6442 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CFFA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6192 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BC8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9320</w:t>
            </w:r>
          </w:p>
        </w:tc>
      </w:tr>
      <w:tr w14:paraId="4A43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425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40087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货摊、无店铺及其他零售业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A93E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450 </w:t>
            </w:r>
          </w:p>
        </w:tc>
        <w:tc>
          <w:tcPr>
            <w:tcW w:w="859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B10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47 </w:t>
            </w: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7030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1340 </w:t>
            </w:r>
          </w:p>
        </w:tc>
      </w:tr>
    </w:tbl>
    <w:p w14:paraId="57C9CC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 w14:paraId="1D9F7825">
      <w:pPr>
        <w:pStyle w:val="2"/>
        <w:rPr>
          <w:rFonts w:hint="eastAsia"/>
          <w:lang w:val="en-US" w:eastAsia="zh-CN"/>
        </w:rPr>
      </w:pPr>
    </w:p>
    <w:p w14:paraId="687AE1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二、交通运输、仓储和邮政业</w:t>
      </w:r>
    </w:p>
    <w:p w14:paraId="51E175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 w14:paraId="792B34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全县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共有交通运输、仓储和邮政业企业法人单位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125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个，从业人员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3473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人（详见表4-4）。</w:t>
      </w:r>
    </w:p>
    <w:p w14:paraId="1E66D4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 w14:paraId="46D7037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 w14:paraId="6AB19F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表4-4　按行业大类分组的交通运输、仓储和邮政业</w:t>
      </w:r>
    </w:p>
    <w:p w14:paraId="29D6CF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企业法人单位数和从业人员</w:t>
      </w:r>
    </w:p>
    <w:tbl>
      <w:tblPr>
        <w:tblStyle w:val="1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57"/>
        <w:gridCol w:w="2434"/>
        <w:gridCol w:w="2480"/>
      </w:tblGrid>
      <w:tr w14:paraId="572D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6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203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40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AB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63B5F9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43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74DFC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617976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46568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946F8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40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9BFF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8755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3473</w:t>
            </w:r>
          </w:p>
        </w:tc>
      </w:tr>
      <w:tr w14:paraId="1DC71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319A3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铁路运输业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37C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30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00F4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5383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CA5BD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道路运输业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E0D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91</w:t>
            </w:r>
          </w:p>
        </w:tc>
        <w:tc>
          <w:tcPr>
            <w:tcW w:w="1430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EAE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2573</w:t>
            </w:r>
          </w:p>
        </w:tc>
      </w:tr>
      <w:tr w14:paraId="5909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49EFB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水上运输业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205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430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A818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23C3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C66B2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航空运输业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9A9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430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1659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0A4C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C9216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管道运输业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FB29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430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52A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 w14:paraId="20C92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991F2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多式联运和运输代理业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8AD1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430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0E26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 w14:paraId="121B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8B5E4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装卸搬运和仓储业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BBC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1430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3AFE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857</w:t>
            </w:r>
          </w:p>
        </w:tc>
      </w:tr>
      <w:tr w14:paraId="34589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6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733AD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邮政业</w:t>
            </w:r>
          </w:p>
        </w:tc>
        <w:tc>
          <w:tcPr>
            <w:tcW w:w="1403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372B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430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5DE9C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</w:tbl>
    <w:p w14:paraId="2DEC4F5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在交通运输、仓储和邮政业企业法人单位中，内资企业占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95.2%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。</w:t>
      </w:r>
    </w:p>
    <w:p w14:paraId="0E7F02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在交通运输、仓储和邮政业企业法人单位从业人员中，内资企业占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99.7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%（详见表4-5）。</w:t>
      </w:r>
    </w:p>
    <w:p w14:paraId="200A9F82">
      <w:pPr>
        <w:pStyle w:val="2"/>
        <w:rPr>
          <w:rFonts w:hint="eastAsia"/>
          <w:lang w:val="en-US" w:eastAsia="zh-CN"/>
        </w:rPr>
      </w:pPr>
    </w:p>
    <w:p w14:paraId="335E0AA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表4-5　按登记注册统计类别分组的交通运输、仓储和邮政业</w:t>
      </w:r>
    </w:p>
    <w:p w14:paraId="42EE0F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企业法人单位数和从业人员</w:t>
      </w:r>
    </w:p>
    <w:tbl>
      <w:tblPr>
        <w:tblStyle w:val="1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0"/>
        <w:gridCol w:w="2416"/>
        <w:gridCol w:w="2425"/>
      </w:tblGrid>
      <w:tr w14:paraId="78618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CE7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bookmarkStart w:id="0" w:name="OLE_LINK2" w:colFirst="1" w:colLast="2"/>
          </w:p>
        </w:tc>
        <w:tc>
          <w:tcPr>
            <w:tcW w:w="139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ACB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2DAC4E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39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07B3B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4B2FA1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bookmarkEnd w:id="0"/>
      <w:tr w14:paraId="36C91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0BA15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BFA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125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4493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3473</w:t>
            </w:r>
          </w:p>
        </w:tc>
      </w:tr>
      <w:tr w14:paraId="13D2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2FB1D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139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A902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119</w:t>
            </w:r>
          </w:p>
        </w:tc>
        <w:tc>
          <w:tcPr>
            <w:tcW w:w="24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5449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3464</w:t>
            </w:r>
          </w:p>
        </w:tc>
      </w:tr>
      <w:tr w14:paraId="5272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AACCF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港澳台投资企业</w:t>
            </w:r>
          </w:p>
        </w:tc>
        <w:tc>
          <w:tcPr>
            <w:tcW w:w="139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7130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4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EC5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2DB3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8902A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外商投资企业</w:t>
            </w:r>
          </w:p>
        </w:tc>
        <w:tc>
          <w:tcPr>
            <w:tcW w:w="1393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9F6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4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CEF0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00B8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C207A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其他统计类别</w:t>
            </w:r>
          </w:p>
        </w:tc>
        <w:tc>
          <w:tcPr>
            <w:tcW w:w="1393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DD85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4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41CC1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</w:tr>
    </w:tbl>
    <w:p w14:paraId="4D8647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 w14:paraId="49D48D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2023年末，交通运输、仓储和邮政业企业法人单位资产总计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148151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；负债合计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109640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。</w:t>
      </w:r>
    </w:p>
    <w:p w14:paraId="4E42F25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2023年，交通运输、仓储和邮政业企业法人单位全年实现营业收入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161759万元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（详见表4-6）。</w:t>
      </w:r>
    </w:p>
    <w:p w14:paraId="4EE038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 w14:paraId="37A001B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表4-6　按行业大类分组的交通运输、仓储和邮政业</w:t>
      </w:r>
    </w:p>
    <w:p w14:paraId="6C7F3F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企业法人单位主要经济指标</w:t>
      </w:r>
    </w:p>
    <w:tbl>
      <w:tblPr>
        <w:tblStyle w:val="18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28"/>
        <w:gridCol w:w="1647"/>
        <w:gridCol w:w="1647"/>
        <w:gridCol w:w="1652"/>
      </w:tblGrid>
      <w:tr w14:paraId="65B3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4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74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94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71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 w14:paraId="20BA74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94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C08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 w14:paraId="70E512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95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76F4D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 w14:paraId="56C0DD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50A1D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091A5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1191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148151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847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109640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ADB2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161759</w:t>
            </w:r>
          </w:p>
        </w:tc>
      </w:tr>
      <w:tr w14:paraId="1458D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54E70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铁路运输业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35DB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5E1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951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0423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4046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66846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道路运输业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52B0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134997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C685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101734</w:t>
            </w:r>
          </w:p>
        </w:tc>
        <w:tc>
          <w:tcPr>
            <w:tcW w:w="951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B1CA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149501</w:t>
            </w:r>
          </w:p>
        </w:tc>
      </w:tr>
      <w:tr w14:paraId="5FBF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F6187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水上运输业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2092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283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E35D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51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63A5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83</w:t>
            </w:r>
          </w:p>
        </w:tc>
      </w:tr>
      <w:tr w14:paraId="54902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842CF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航空运输业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8C6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132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BEDD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58</w:t>
            </w:r>
          </w:p>
        </w:tc>
        <w:tc>
          <w:tcPr>
            <w:tcW w:w="951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B31D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417</w:t>
            </w:r>
          </w:p>
        </w:tc>
      </w:tr>
      <w:tr w14:paraId="5AA99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A154B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管道运输业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429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EA9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951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AFA0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2D2C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B11B9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多式联运和运输代理业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BB1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325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3E2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216</w:t>
            </w:r>
          </w:p>
        </w:tc>
        <w:tc>
          <w:tcPr>
            <w:tcW w:w="951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3380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3651</w:t>
            </w:r>
          </w:p>
        </w:tc>
      </w:tr>
      <w:tr w14:paraId="59063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76183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装卸搬运和仓储业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38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12343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19BE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7631</w:t>
            </w:r>
          </w:p>
        </w:tc>
        <w:tc>
          <w:tcPr>
            <w:tcW w:w="951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664F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7295</w:t>
            </w:r>
          </w:p>
        </w:tc>
      </w:tr>
      <w:tr w14:paraId="0F0F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48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1B3DB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邮政业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4299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71</w:t>
            </w:r>
          </w:p>
        </w:tc>
        <w:tc>
          <w:tcPr>
            <w:tcW w:w="949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4781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951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0888C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812</w:t>
            </w:r>
          </w:p>
        </w:tc>
      </w:tr>
    </w:tbl>
    <w:p w14:paraId="03070A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 w14:paraId="4F9EE1A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三、住宿和餐饮业</w:t>
      </w:r>
    </w:p>
    <w:p w14:paraId="449C5EC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 w14:paraId="5AB8AD2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2023年末，全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县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共有住宿和餐饮业企业法人单位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45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个，从业人员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461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人。</w:t>
      </w:r>
    </w:p>
    <w:p w14:paraId="66ABA8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在住宿和餐饮业企业法人单位中，住宿业占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35.6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%，餐饮业占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64.4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%。在住宿和餐饮业企业法人单位从业人员中，住宿业占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37.5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%，餐饮业占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62.5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%（详见表4-7）。</w:t>
      </w:r>
    </w:p>
    <w:p w14:paraId="0E6561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表4-7　按行业中类分组的住宿和餐饮业</w:t>
      </w:r>
    </w:p>
    <w:p w14:paraId="61F278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    企业法人单位数和从业人员</w:t>
      </w:r>
    </w:p>
    <w:tbl>
      <w:tblPr>
        <w:tblStyle w:val="1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63"/>
        <w:gridCol w:w="2776"/>
        <w:gridCol w:w="2035"/>
      </w:tblGrid>
      <w:tr w14:paraId="416A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89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2B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27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27C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453878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leftChars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20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84A00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544DDA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leftChars="0" w:right="57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0EE9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10288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F3B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45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84E6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461</w:t>
            </w:r>
          </w:p>
        </w:tc>
      </w:tr>
      <w:tr w14:paraId="353F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7FC1C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住宿业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ED28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B9E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173</w:t>
            </w:r>
          </w:p>
        </w:tc>
      </w:tr>
      <w:tr w14:paraId="47FF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14534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旅游饭店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ADFC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D9B2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143</w:t>
            </w:r>
          </w:p>
        </w:tc>
      </w:tr>
      <w:tr w14:paraId="2F14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DAF7A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一般旅馆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60C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 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54E6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12 </w:t>
            </w:r>
          </w:p>
        </w:tc>
      </w:tr>
      <w:tr w14:paraId="3650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B595E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民宿服务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2E6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 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EBC1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15 </w:t>
            </w:r>
          </w:p>
        </w:tc>
      </w:tr>
      <w:tr w14:paraId="21C2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470A1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露营地服务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A589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 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67C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 </w:t>
            </w:r>
          </w:p>
        </w:tc>
      </w:tr>
      <w:tr w14:paraId="3DFA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2EA57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其他住宿业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824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7B9C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6601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E8CC7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餐饮业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50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EA51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288</w:t>
            </w:r>
          </w:p>
        </w:tc>
      </w:tr>
      <w:tr w14:paraId="27D18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53C7A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正餐服务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0890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F4A2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220</w:t>
            </w:r>
          </w:p>
        </w:tc>
      </w:tr>
      <w:tr w14:paraId="7B1AE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0CA00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快餐服务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1C1A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3BC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18</w:t>
            </w:r>
          </w:p>
        </w:tc>
      </w:tr>
      <w:tr w14:paraId="5D8F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B5251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饮料及冷饮服务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A59F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965D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58963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3F225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餐饮配送及外卖送餐服务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A8A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 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786B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48 </w:t>
            </w:r>
          </w:p>
        </w:tc>
      </w:tr>
      <w:tr w14:paraId="210BB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16F26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其他餐饮业</w:t>
            </w:r>
          </w:p>
        </w:tc>
        <w:tc>
          <w:tcPr>
            <w:tcW w:w="279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D0B4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 </w:t>
            </w:r>
          </w:p>
        </w:tc>
        <w:tc>
          <w:tcPr>
            <w:tcW w:w="204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0C491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 </w:t>
            </w:r>
          </w:p>
        </w:tc>
      </w:tr>
    </w:tbl>
    <w:p w14:paraId="4B41490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在住宿和餐饮业企业法人单位中，内资企业占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93.3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%，外商投资企业占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2.2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 w14:paraId="5A908A9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在住宿和餐饮业企业法人单位从业人员中，内资企业占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88.5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%，外商投资企业占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10.4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%（详见表4-8）。</w:t>
      </w:r>
    </w:p>
    <w:p w14:paraId="31B694D5">
      <w:pPr>
        <w:pStyle w:val="2"/>
        <w:rPr>
          <w:rFonts w:hint="eastAsia"/>
          <w:lang w:val="en-US" w:eastAsia="zh-CN"/>
        </w:rPr>
      </w:pPr>
    </w:p>
    <w:p w14:paraId="5C33BB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表4-8　按登记注册统计类别分组的住宿和餐饮业</w:t>
      </w:r>
    </w:p>
    <w:p w14:paraId="3843FD2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企业法人单位数和从业人员</w:t>
      </w:r>
    </w:p>
    <w:tbl>
      <w:tblPr>
        <w:tblStyle w:val="1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8"/>
        <w:gridCol w:w="2794"/>
        <w:gridCol w:w="2059"/>
      </w:tblGrid>
      <w:tr w14:paraId="4841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20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2B1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161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4E4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55907F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18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3B5F3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2C4C7B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253AA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B4815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1E718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45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A3A8E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461</w:t>
            </w:r>
          </w:p>
        </w:tc>
      </w:tr>
      <w:tr w14:paraId="24947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719FE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bookmarkStart w:id="1" w:name="OLE_LINK1" w:colFirst="0" w:colLast="0"/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27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B1EB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42</w:t>
            </w:r>
          </w:p>
        </w:tc>
        <w:tc>
          <w:tcPr>
            <w:tcW w:w="207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C030F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408</w:t>
            </w:r>
          </w:p>
        </w:tc>
      </w:tr>
      <w:tr w14:paraId="4FC8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54623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  <w:t>港澳台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投资企业</w:t>
            </w:r>
          </w:p>
        </w:tc>
        <w:tc>
          <w:tcPr>
            <w:tcW w:w="161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571DE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07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33B37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0A094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8D2B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外商投资企业</w:t>
            </w:r>
          </w:p>
        </w:tc>
        <w:tc>
          <w:tcPr>
            <w:tcW w:w="27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3135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 </w:t>
            </w:r>
          </w:p>
        </w:tc>
        <w:tc>
          <w:tcPr>
            <w:tcW w:w="207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75316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48 </w:t>
            </w:r>
          </w:p>
        </w:tc>
      </w:tr>
      <w:tr w14:paraId="2B69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201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D3DCD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其他统计类别</w:t>
            </w:r>
          </w:p>
        </w:tc>
        <w:tc>
          <w:tcPr>
            <w:tcW w:w="279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F65A7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 </w:t>
            </w:r>
          </w:p>
        </w:tc>
        <w:tc>
          <w:tcPr>
            <w:tcW w:w="2073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0332ED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 </w:t>
            </w:r>
          </w:p>
        </w:tc>
      </w:tr>
      <w:bookmarkEnd w:id="1"/>
    </w:tbl>
    <w:p w14:paraId="0460F72E">
      <w:pPr>
        <w:pStyle w:val="2"/>
        <w:rPr>
          <w:rFonts w:hint="eastAsia"/>
          <w:lang w:val="en-US" w:eastAsia="zh-CN"/>
        </w:rPr>
      </w:pPr>
    </w:p>
    <w:p w14:paraId="0D43B4F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 w14:paraId="5A9D91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2023年末，住宿和餐饮业企业法人单位资产总计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13243万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元</w:t>
      </w:r>
      <w:r>
        <w:rPr>
          <w:rFonts w:hint="eastAsia" w:ascii="Times New Roman" w:hAnsi="Times New Roman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；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负债合计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6228万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元。</w:t>
      </w:r>
    </w:p>
    <w:p w14:paraId="25EFBB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2023年，住宿和餐饮业企业法人单位全年实现营业收入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8753万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元（详见表4-9）。</w:t>
      </w:r>
    </w:p>
    <w:p w14:paraId="1CD5A8A7">
      <w:pPr>
        <w:pStyle w:val="2"/>
        <w:rPr>
          <w:rFonts w:hint="eastAsia"/>
          <w:lang w:val="en-US" w:eastAsia="zh-CN"/>
        </w:rPr>
      </w:pPr>
    </w:p>
    <w:p w14:paraId="102338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表4-9　按行业中类分组的住宿和餐饮业</w:t>
      </w:r>
    </w:p>
    <w:p w14:paraId="682AA45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    企业法人单位主要经济指标</w:t>
      </w:r>
    </w:p>
    <w:tbl>
      <w:tblPr>
        <w:tblStyle w:val="18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4"/>
        <w:gridCol w:w="1630"/>
        <w:gridCol w:w="1630"/>
        <w:gridCol w:w="1630"/>
      </w:tblGrid>
      <w:tr w14:paraId="53919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A27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93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D3A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 w14:paraId="0B2FBD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93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F07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 w14:paraId="54215B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93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E6E24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 w14:paraId="226D6C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0C0D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2B5F1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1123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13243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1D332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6228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B0383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8753</w:t>
            </w:r>
          </w:p>
        </w:tc>
      </w:tr>
      <w:tr w14:paraId="40DBE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57343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住宿业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7F38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7852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562B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4989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869A5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3846</w:t>
            </w:r>
          </w:p>
        </w:tc>
      </w:tr>
      <w:tr w14:paraId="3D25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09351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旅游饭店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3628B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7268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D4563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4925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568B5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3231</w:t>
            </w:r>
          </w:p>
        </w:tc>
      </w:tr>
      <w:tr w14:paraId="730A8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90262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一般旅馆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8D543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150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8F78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8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7E066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244 </w:t>
            </w:r>
          </w:p>
        </w:tc>
      </w:tr>
      <w:tr w14:paraId="7801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0BD40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民宿服务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6D4E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334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A941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56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0A9D4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357 </w:t>
            </w:r>
          </w:p>
        </w:tc>
      </w:tr>
      <w:tr w14:paraId="3FF0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CCC3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露营地服务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ED18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100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43E73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0 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EEF49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14 </w:t>
            </w:r>
          </w:p>
        </w:tc>
      </w:tr>
      <w:tr w14:paraId="35701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C5291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其他住宿业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51FD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A00CD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051A0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1D56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54CA9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餐饮业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A7CC3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5391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1A21C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1239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1A0E0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4907</w:t>
            </w:r>
          </w:p>
        </w:tc>
      </w:tr>
      <w:tr w14:paraId="59F1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B42E0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正餐服务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F8FAF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5162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7B32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1200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F7C26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4187</w:t>
            </w:r>
          </w:p>
        </w:tc>
      </w:tr>
      <w:tr w14:paraId="7AF5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AEAA0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快餐服务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8C95C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91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8348A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68407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309</w:t>
            </w:r>
          </w:p>
        </w:tc>
      </w:tr>
      <w:tr w14:paraId="43D4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0750A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饮料及冷饮服务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7DED9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D9131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63B74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2E30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2BD87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餐饮配送及外卖送餐服务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A704A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138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CAC9E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32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1FADA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401 </w:t>
            </w:r>
          </w:p>
        </w:tc>
      </w:tr>
      <w:tr w14:paraId="09841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1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1C828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42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其他餐饮业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E1035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0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67AD4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0  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5AEE50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10 </w:t>
            </w:r>
          </w:p>
        </w:tc>
      </w:tr>
    </w:tbl>
    <w:p w14:paraId="1A36E1C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 w14:paraId="2AAD8F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四、信息传输、软件和信息技术服务业</w:t>
      </w:r>
    </w:p>
    <w:p w14:paraId="5DCC56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 w14:paraId="3306AE6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全县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共有信息传输、软件和信息技术服务业企业法人单位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88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个，从业人员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575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人（详见表4-10）。</w:t>
      </w:r>
    </w:p>
    <w:p w14:paraId="1DEFD9BC">
      <w:pPr>
        <w:pStyle w:val="2"/>
        <w:rPr>
          <w:rFonts w:hint="eastAsia"/>
          <w:lang w:val="en-US" w:eastAsia="zh-CN"/>
        </w:rPr>
      </w:pPr>
    </w:p>
    <w:p w14:paraId="0E592F1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表4-10　按行业大类分组的信息传输、软件和信息技术服务业</w:t>
      </w:r>
    </w:p>
    <w:p w14:paraId="2F9E98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企业法人单位数和从业人员</w:t>
      </w:r>
    </w:p>
    <w:tbl>
      <w:tblPr>
        <w:tblStyle w:val="1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9"/>
        <w:gridCol w:w="2785"/>
        <w:gridCol w:w="2040"/>
      </w:tblGrid>
      <w:tr w14:paraId="51816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87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7C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8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28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13E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77B620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20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1924D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07A3E7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2AEDD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73A3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CE07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88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94C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575</w:t>
            </w:r>
          </w:p>
        </w:tc>
      </w:tr>
      <w:tr w14:paraId="4648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60FD8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电信、广播电视和卫星传输服务</w:t>
            </w:r>
          </w:p>
        </w:tc>
        <w:tc>
          <w:tcPr>
            <w:tcW w:w="28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F06E5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FCC9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3928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3551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互联网和相关服务</w:t>
            </w:r>
          </w:p>
        </w:tc>
        <w:tc>
          <w:tcPr>
            <w:tcW w:w="28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13F9D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2F10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126</w:t>
            </w:r>
          </w:p>
        </w:tc>
      </w:tr>
      <w:tr w14:paraId="7CC5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7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68344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软件和信息技术服务业</w:t>
            </w:r>
          </w:p>
        </w:tc>
        <w:tc>
          <w:tcPr>
            <w:tcW w:w="28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8E1E9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leftChars="0" w:right="57" w:rightChars="0"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64</w:t>
            </w: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11D2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449</w:t>
            </w:r>
          </w:p>
        </w:tc>
      </w:tr>
    </w:tbl>
    <w:p w14:paraId="76901A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</w:p>
    <w:p w14:paraId="550F0C7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在信息传输、软件和信息技术服务业企业法人单位中，内资企业占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100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 w14:paraId="3FEEEF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在信息传输、软件和信息技术服务业企业法人单位从业人员中，内资企业占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100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%（详见表4-11）。</w:t>
      </w:r>
    </w:p>
    <w:p w14:paraId="6AEC0C32">
      <w:pPr>
        <w:pStyle w:val="2"/>
        <w:rPr>
          <w:rFonts w:hint="eastAsia"/>
          <w:lang w:val="en-US" w:eastAsia="zh-CN"/>
        </w:rPr>
      </w:pPr>
    </w:p>
    <w:p w14:paraId="556ECB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8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表4-11　按登记注册统计类别分组的信息传输、软件和信息技术服务业</w:t>
      </w:r>
    </w:p>
    <w:p w14:paraId="6ED42F7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8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企业法人单位数和从业人员</w:t>
      </w:r>
    </w:p>
    <w:tbl>
      <w:tblPr>
        <w:tblStyle w:val="1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8"/>
        <w:gridCol w:w="2794"/>
        <w:gridCol w:w="2059"/>
      </w:tblGrid>
      <w:tr w14:paraId="1E04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A4B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161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F2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2DB3E5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18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8B383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13A209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2A6BF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B1ACA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5A4B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88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35F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575</w:t>
            </w:r>
          </w:p>
        </w:tc>
      </w:tr>
      <w:tr w14:paraId="1B47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EF98E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161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06C0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88</w:t>
            </w:r>
          </w:p>
        </w:tc>
        <w:tc>
          <w:tcPr>
            <w:tcW w:w="207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A6ED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575</w:t>
            </w:r>
          </w:p>
        </w:tc>
      </w:tr>
      <w:tr w14:paraId="67D66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4D17D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  <w:t>港澳台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投资企业</w:t>
            </w:r>
          </w:p>
        </w:tc>
        <w:tc>
          <w:tcPr>
            <w:tcW w:w="161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23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07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0749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697A3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947B2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外商投资企业</w:t>
            </w:r>
          </w:p>
        </w:tc>
        <w:tc>
          <w:tcPr>
            <w:tcW w:w="161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BBB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07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0FF7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2609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00C06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其他统计类别</w:t>
            </w:r>
          </w:p>
        </w:tc>
        <w:tc>
          <w:tcPr>
            <w:tcW w:w="1611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BF29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073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4DD7E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</w:tbl>
    <w:p w14:paraId="51BC80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 w14:paraId="077C68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 w14:paraId="0B78464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2023年末，信息传输、软件和信息技术服务业企业法人单位资产总计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17892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；负债合计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12580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。</w:t>
      </w:r>
    </w:p>
    <w:p w14:paraId="1781925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2023年，信息传输、软件和信息技术服务业企业法人单位全年实现营业收入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21247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（详见表4-12）。</w:t>
      </w:r>
    </w:p>
    <w:p w14:paraId="56F28AD9">
      <w:pPr>
        <w:pStyle w:val="2"/>
        <w:rPr>
          <w:rFonts w:hint="eastAsia"/>
          <w:lang w:val="en-US" w:eastAsia="zh-CN"/>
        </w:rPr>
      </w:pPr>
    </w:p>
    <w:p w14:paraId="1E2A3A4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表4-12　按行业大类分组的信息传输、软件和信息技术服务业</w:t>
      </w:r>
    </w:p>
    <w:p w14:paraId="4E61943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企业法人单位主要经济指标</w:t>
      </w:r>
    </w:p>
    <w:tbl>
      <w:tblPr>
        <w:tblStyle w:val="1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85"/>
        <w:gridCol w:w="1561"/>
        <w:gridCol w:w="1561"/>
        <w:gridCol w:w="1564"/>
      </w:tblGrid>
      <w:tr w14:paraId="7E08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97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C09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50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90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904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 w14:paraId="196FA3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90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402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 w14:paraId="6814E1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90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8C7A1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 w14:paraId="6E3B33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6249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9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EFAB4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703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17892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3FDA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12580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8F4D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21247</w:t>
            </w:r>
          </w:p>
        </w:tc>
      </w:tr>
      <w:tr w14:paraId="3B3A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97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6A5ED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电信、广播电视和卫星传输服务</w:t>
            </w:r>
          </w:p>
        </w:tc>
        <w:tc>
          <w:tcPr>
            <w:tcW w:w="9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24A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9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63D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901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42E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4DF6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97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A230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互联网和相关服务</w:t>
            </w:r>
          </w:p>
        </w:tc>
        <w:tc>
          <w:tcPr>
            <w:tcW w:w="9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2C1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11378</w:t>
            </w:r>
          </w:p>
        </w:tc>
        <w:tc>
          <w:tcPr>
            <w:tcW w:w="9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5212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10825</w:t>
            </w:r>
          </w:p>
        </w:tc>
        <w:tc>
          <w:tcPr>
            <w:tcW w:w="901" w:type="pct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46C2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5273</w:t>
            </w:r>
          </w:p>
        </w:tc>
      </w:tr>
      <w:tr w14:paraId="2803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97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220ED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软件和信息技术服务业</w:t>
            </w:r>
          </w:p>
        </w:tc>
        <w:tc>
          <w:tcPr>
            <w:tcW w:w="900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18E9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6514</w:t>
            </w:r>
          </w:p>
        </w:tc>
        <w:tc>
          <w:tcPr>
            <w:tcW w:w="900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839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1755</w:t>
            </w:r>
          </w:p>
        </w:tc>
        <w:tc>
          <w:tcPr>
            <w:tcW w:w="901" w:type="pct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2563A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15974</w:t>
            </w:r>
          </w:p>
        </w:tc>
      </w:tr>
    </w:tbl>
    <w:p w14:paraId="3993D4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 w14:paraId="1D8EC5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五、金融业</w:t>
      </w:r>
    </w:p>
    <w:p w14:paraId="44179FE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　　</w:t>
      </w: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 w14:paraId="414649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" w:eastAsia="zh-CN" w:bidi="ar-SA"/>
        </w:rPr>
        <w:t>2023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年末，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全县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共有金融业企业法人单位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个，从业人员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人（详见表4-13）。</w:t>
      </w:r>
    </w:p>
    <w:p w14:paraId="19D0D7FA">
      <w:pPr>
        <w:pStyle w:val="2"/>
        <w:rPr>
          <w:rFonts w:hint="eastAsia"/>
          <w:lang w:val="en-US" w:eastAsia="zh-CN"/>
        </w:rPr>
      </w:pPr>
    </w:p>
    <w:p w14:paraId="7D54E1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表4-13　按行业大类分组的金融业企业法人单位数和从业人员</w:t>
      </w:r>
    </w:p>
    <w:tbl>
      <w:tblPr>
        <w:tblStyle w:val="1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6"/>
        <w:gridCol w:w="2542"/>
        <w:gridCol w:w="2343"/>
      </w:tblGrid>
      <w:tr w14:paraId="6F51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3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93A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46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208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34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583DD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049D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E3C56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5C67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3542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</w:tr>
      <w:tr w14:paraId="4B57C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A3B38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货币金融服务</w:t>
            </w:r>
          </w:p>
        </w:tc>
        <w:tc>
          <w:tcPr>
            <w:tcW w:w="146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71B3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35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84F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</w:tr>
      <w:tr w14:paraId="5069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D3712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资本市场服务</w:t>
            </w:r>
          </w:p>
        </w:tc>
        <w:tc>
          <w:tcPr>
            <w:tcW w:w="146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1A2F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35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D814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6B0F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3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C59EB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保险业</w:t>
            </w:r>
          </w:p>
        </w:tc>
        <w:tc>
          <w:tcPr>
            <w:tcW w:w="146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6AB7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35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0AEC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5D1F9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18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54D73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其他金融业</w:t>
            </w:r>
          </w:p>
        </w:tc>
        <w:tc>
          <w:tcPr>
            <w:tcW w:w="1466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6465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359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18178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3EB37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 w14:paraId="316993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57" w:right="57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C0C0C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楷体" w:cs="楷体"/>
                <w:color w:val="0C0C0C"/>
                <w:kern w:val="0"/>
                <w:sz w:val="21"/>
                <w:szCs w:val="21"/>
                <w:highlight w:val="none"/>
                <w:lang w:bidi="ar"/>
              </w:rPr>
              <w:t>注：金融业企业法人单位包括中国人民银行、金融监管总局、中国证监会负责普查的单位和各级经济普查机构负责普查的单位。</w:t>
            </w:r>
          </w:p>
        </w:tc>
      </w:tr>
    </w:tbl>
    <w:p w14:paraId="5EC14EF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 w14:paraId="6EA6605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 w14:paraId="7EF455F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 w14:paraId="6270B8A9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 w14:paraId="2DC058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2023年末，金融业企业法人单位资产总计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11139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；负债合计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17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。</w:t>
      </w:r>
    </w:p>
    <w:p w14:paraId="07FB5F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2023年，金融业企业法人单位全年实现营业收入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26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（详见表4-14）。</w:t>
      </w:r>
    </w:p>
    <w:p w14:paraId="1D59DFA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Lines="20" w:afterAutospacing="0" w:line="4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 w14:paraId="2BD0E6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Lines="20" w:afterAutospacing="0" w:line="4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表4-14　按行业大类分组的金融业企业法人单位主要经济指标</w:t>
      </w:r>
    </w:p>
    <w:tbl>
      <w:tblPr>
        <w:tblStyle w:val="1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6"/>
        <w:gridCol w:w="1633"/>
        <w:gridCol w:w="1633"/>
        <w:gridCol w:w="1632"/>
      </w:tblGrid>
      <w:tr w14:paraId="12E2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80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CF2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FC4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 w14:paraId="186262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8C0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 w14:paraId="5C39F6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366E7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 w14:paraId="13B8F2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14AF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3225F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6F50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11139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A6A3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2239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26</w:t>
            </w:r>
          </w:p>
        </w:tc>
      </w:tr>
      <w:tr w14:paraId="40FC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5AFA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货币金融服务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D11C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11139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AE4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226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26</w:t>
            </w:r>
          </w:p>
        </w:tc>
      </w:tr>
      <w:tr w14:paraId="6DAD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E9867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资本市场服务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D237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DE4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E66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7D24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C0D06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保险业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641A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A97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344E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43B9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AA369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其他金融业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3D4C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409E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74B5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34C9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32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 w14:paraId="0B9D31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C0C0C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楷体" w:cs="楷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注：</w:t>
            </w:r>
            <w:r>
              <w:rPr>
                <w:rFonts w:hint="eastAsia" w:ascii="Times New Roman" w:hAnsi="Times New Roman" w:eastAsia="楷体" w:cs="楷体"/>
                <w:color w:val="0C0C0C"/>
                <w:kern w:val="0"/>
                <w:sz w:val="21"/>
                <w:szCs w:val="21"/>
                <w:highlight w:val="none"/>
                <w:lang w:bidi="ar"/>
              </w:rPr>
              <w:t>金融业企业法人单位包括中国人民银行、金融监管总局、中国证监会负责普查的单位和各级经济普查机构负责普查的单位。</w:t>
            </w:r>
          </w:p>
        </w:tc>
      </w:tr>
    </w:tbl>
    <w:p w14:paraId="309750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 w14:paraId="26ADC8D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六、房地产业</w:t>
      </w:r>
    </w:p>
    <w:p w14:paraId="32F7EB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　　</w:t>
      </w: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 w14:paraId="1804EB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全县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共有房地产业企业法人单位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95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个。其中，物业管理企业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60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个，房地产中介服务企业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33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个。</w:t>
      </w:r>
    </w:p>
    <w:p w14:paraId="44F9DCC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全县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房地产业企业法人单位从业人员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1252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人。其中，物业管理企业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1069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人，房地产中介服务企业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170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人（详见表4-15）。</w:t>
      </w:r>
    </w:p>
    <w:p w14:paraId="58F7B1B1">
      <w:pPr>
        <w:pStyle w:val="2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</w:p>
    <w:p w14:paraId="4BA72C96">
      <w:pPr>
        <w:rPr>
          <w:rFonts w:hint="eastAsia"/>
          <w:lang w:val="en-US" w:eastAsia="zh-CN"/>
        </w:rPr>
      </w:pPr>
    </w:p>
    <w:p w14:paraId="5C7171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1" w:afterLines="1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表4-15　按行业中类分组的房地产业企业法人单位数和从业人员</w:t>
      </w:r>
    </w:p>
    <w:tbl>
      <w:tblPr>
        <w:tblStyle w:val="18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93"/>
        <w:gridCol w:w="2804"/>
        <w:gridCol w:w="2677"/>
      </w:tblGrid>
      <w:tr w14:paraId="29E12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4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75D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161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5A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080BB4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54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2873E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01B09D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3BC1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4033A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61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B385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 w:val="0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 w:val="0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99CC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 w:val="0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 w:val="0"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1252</w:t>
            </w:r>
          </w:p>
        </w:tc>
      </w:tr>
      <w:tr w14:paraId="3BF1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1348E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房地产开发经营</w:t>
            </w:r>
          </w:p>
        </w:tc>
        <w:tc>
          <w:tcPr>
            <w:tcW w:w="161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BB4B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A82E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5423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34A24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物业管理</w:t>
            </w:r>
          </w:p>
        </w:tc>
        <w:tc>
          <w:tcPr>
            <w:tcW w:w="161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721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208B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1069</w:t>
            </w:r>
          </w:p>
        </w:tc>
      </w:tr>
      <w:tr w14:paraId="5E87A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5757A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房地产中介服务</w:t>
            </w:r>
          </w:p>
        </w:tc>
        <w:tc>
          <w:tcPr>
            <w:tcW w:w="161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D2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5FB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170</w:t>
            </w:r>
          </w:p>
        </w:tc>
      </w:tr>
      <w:tr w14:paraId="59B79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C6CCE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房地产租赁经营</w:t>
            </w:r>
          </w:p>
        </w:tc>
        <w:tc>
          <w:tcPr>
            <w:tcW w:w="161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C36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52A3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</w:t>
            </w:r>
          </w:p>
        </w:tc>
      </w:tr>
      <w:tr w14:paraId="1761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840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020B5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其他房地产业</w:t>
            </w:r>
          </w:p>
        </w:tc>
        <w:tc>
          <w:tcPr>
            <w:tcW w:w="1616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DE19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695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54806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</w:tbl>
    <w:p w14:paraId="270B5D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</w:p>
    <w:p w14:paraId="690D83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在房地产业企业法人单位中，内资企业占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100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 w14:paraId="494DAD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在房地产业企业法人单位从业人员中，内资企业占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100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%，（详见表4-16）。</w:t>
      </w:r>
    </w:p>
    <w:p w14:paraId="363141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</w:p>
    <w:p w14:paraId="77E0F9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表4-16　按登记注册统计类别分组的房地产业</w:t>
      </w:r>
    </w:p>
    <w:p w14:paraId="0E0FE9F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   企业法人单位数和从业人员</w:t>
      </w:r>
    </w:p>
    <w:tbl>
      <w:tblPr>
        <w:tblStyle w:val="1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8"/>
        <w:gridCol w:w="2794"/>
        <w:gridCol w:w="2059"/>
      </w:tblGrid>
      <w:tr w14:paraId="023E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01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D45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161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80F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3A574A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18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B2AF6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3BD613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7FB79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B9F1A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5F5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238E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1252</w:t>
            </w:r>
          </w:p>
        </w:tc>
      </w:tr>
      <w:tr w14:paraId="4107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A0E05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28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34D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95</w:t>
            </w:r>
          </w:p>
        </w:tc>
        <w:tc>
          <w:tcPr>
            <w:tcW w:w="207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17AC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1252</w:t>
            </w:r>
          </w:p>
        </w:tc>
      </w:tr>
      <w:tr w14:paraId="0AAD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9BED3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  <w:t>港澳台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投资企业</w:t>
            </w:r>
          </w:p>
        </w:tc>
        <w:tc>
          <w:tcPr>
            <w:tcW w:w="28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5ED9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07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FB84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2AC47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97F50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外商投资企业</w:t>
            </w:r>
          </w:p>
        </w:tc>
        <w:tc>
          <w:tcPr>
            <w:tcW w:w="28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5530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07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7CD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31DAF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01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6B4F1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其他统计类别</w:t>
            </w:r>
          </w:p>
        </w:tc>
        <w:tc>
          <w:tcPr>
            <w:tcW w:w="281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8C4A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073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4683A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</w:tbl>
    <w:p w14:paraId="62F0D0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  </w:t>
      </w:r>
    </w:p>
    <w:p w14:paraId="267E63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 w14:paraId="15AC065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全县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房地产业企业法人单位资产总计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84069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。其中，物业管理企业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17254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，房地产中介服务企业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1922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。房地产业企业法人单位负债合计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59828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。</w:t>
      </w:r>
    </w:p>
    <w:p w14:paraId="732ACE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2023年，房地产业企业法人单位全年实现营业收入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23490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（详见表4-17）。</w:t>
      </w:r>
    </w:p>
    <w:p w14:paraId="4824A0B6">
      <w:pPr>
        <w:pStyle w:val="2"/>
        <w:rPr>
          <w:rFonts w:hint="eastAsia"/>
          <w:lang w:val="en-US" w:eastAsia="zh-CN"/>
        </w:rPr>
      </w:pPr>
    </w:p>
    <w:p w14:paraId="05FA32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表4-17　按行业中类分组的房地产业企业法人单位主要经济指标</w:t>
      </w:r>
    </w:p>
    <w:tbl>
      <w:tblPr>
        <w:tblStyle w:val="1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6"/>
        <w:gridCol w:w="1632"/>
        <w:gridCol w:w="1632"/>
        <w:gridCol w:w="1634"/>
      </w:tblGrid>
      <w:tr w14:paraId="0D801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380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415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5C4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 w14:paraId="33920F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15D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 w14:paraId="56B942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6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BF4DB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 w14:paraId="3E61F3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00636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BE313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892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84069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59B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59828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63DA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C0C0C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23490</w:t>
            </w:r>
          </w:p>
        </w:tc>
      </w:tr>
      <w:tr w14:paraId="4B6A9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7491D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房地产开发经营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6FB0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08F2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4477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2A17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DB357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物业管理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B675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17254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766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12778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E40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18119</w:t>
            </w:r>
          </w:p>
        </w:tc>
      </w:tr>
      <w:tr w14:paraId="2AA2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EBC77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房地产中介服务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ECD2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1922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3B6C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480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2851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5025</w:t>
            </w:r>
          </w:p>
        </w:tc>
      </w:tr>
      <w:tr w14:paraId="75F0C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3774D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房地产租赁经营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64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64893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420E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46570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9192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346</w:t>
            </w:r>
          </w:p>
        </w:tc>
      </w:tr>
      <w:tr w14:paraId="1A73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37AAF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其他房地产业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433A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C09A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75B74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</w:tbl>
    <w:p w14:paraId="23FF46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1" w:beforeLines="1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Times New Roman" w:hAnsi="Times New Roman" w:eastAsia="方正仿宋_GBK" w:cs="仿宋_GB2312"/>
          <w:b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仿宋_GB2312"/>
          <w:b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 xml:space="preserve">    </w:t>
      </w:r>
    </w:p>
    <w:p w14:paraId="67915C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1" w:beforeLines="1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七、租赁和商务服务业</w:t>
      </w:r>
    </w:p>
    <w:p w14:paraId="098ABA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　　</w:t>
      </w: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（一）企业法人单位数和从业人员</w:t>
      </w:r>
    </w:p>
    <w:p w14:paraId="5DC433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全县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共有租赁和商务服务业企业法人单位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321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个，从业人员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2884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人。</w:t>
      </w:r>
    </w:p>
    <w:p w14:paraId="395F3F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在租赁和商务服务业企业法人单位中，租赁业占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19.6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%，商务服务业占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80.4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%。在租赁和商务服务业企业法人单位从业人员中，租赁业占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14.6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%，商务服务业占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85.4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%（详见表4-18）。</w:t>
      </w:r>
    </w:p>
    <w:p w14:paraId="290294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79" w:beforeLines="3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表4-18　按行业大类分组的租赁和商务服务业</w:t>
      </w:r>
    </w:p>
    <w:p w14:paraId="1C0765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   企业法人单位数和从业人员</w:t>
      </w:r>
    </w:p>
    <w:tbl>
      <w:tblPr>
        <w:tblStyle w:val="1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7"/>
        <w:gridCol w:w="2685"/>
        <w:gridCol w:w="2489"/>
      </w:tblGrid>
      <w:tr w14:paraId="1A45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016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5D0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154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685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61E0B5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43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263DD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0302FF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24EB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1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450D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54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C3D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321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508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2884</w:t>
            </w:r>
          </w:p>
        </w:tc>
      </w:tr>
      <w:tr w14:paraId="0BF3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1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56A3A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租赁业</w:t>
            </w:r>
          </w:p>
        </w:tc>
        <w:tc>
          <w:tcPr>
            <w:tcW w:w="154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4D3E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63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F2EA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421</w:t>
            </w:r>
          </w:p>
        </w:tc>
      </w:tr>
      <w:tr w14:paraId="72DD6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16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8EA03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商务服务业</w:t>
            </w:r>
          </w:p>
        </w:tc>
        <w:tc>
          <w:tcPr>
            <w:tcW w:w="1548" w:type="pct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DF77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258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34A9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2463</w:t>
            </w:r>
          </w:p>
        </w:tc>
      </w:tr>
    </w:tbl>
    <w:p w14:paraId="5AB8276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在租赁和商务服务业企业法人单位中，内资企业占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100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%。</w:t>
      </w:r>
    </w:p>
    <w:p w14:paraId="586F963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在租赁和商务服务业企业法人单位从业人员中，内资企业占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100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%（详见表4-19）。</w:t>
      </w:r>
    </w:p>
    <w:p w14:paraId="18A30DF9">
      <w:pPr>
        <w:pStyle w:val="2"/>
        <w:rPr>
          <w:rFonts w:hint="eastAsia"/>
          <w:lang w:val="en-US" w:eastAsia="zh-CN"/>
        </w:rPr>
      </w:pPr>
    </w:p>
    <w:p w14:paraId="488F044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表4-19　按登记注册统计类别分组的租赁和商务服务业</w:t>
      </w:r>
    </w:p>
    <w:p w14:paraId="68EC080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企业法人单位数和从业人员</w:t>
      </w:r>
    </w:p>
    <w:tbl>
      <w:tblPr>
        <w:tblStyle w:val="1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7"/>
        <w:gridCol w:w="2664"/>
        <w:gridCol w:w="2500"/>
      </w:tblGrid>
      <w:tr w14:paraId="01B23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2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603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</w:p>
        </w:tc>
        <w:tc>
          <w:tcPr>
            <w:tcW w:w="153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71C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企业法人单位</w:t>
            </w:r>
          </w:p>
          <w:p w14:paraId="61E356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44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E3C2D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从业人员</w:t>
            </w:r>
          </w:p>
          <w:p w14:paraId="63404E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6EED8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FD061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CD6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321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E660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2884</w:t>
            </w:r>
          </w:p>
        </w:tc>
      </w:tr>
      <w:tr w14:paraId="015A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A9A46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内资企业</w:t>
            </w:r>
          </w:p>
        </w:tc>
        <w:tc>
          <w:tcPr>
            <w:tcW w:w="26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A51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321</w:t>
            </w:r>
          </w:p>
        </w:tc>
        <w:tc>
          <w:tcPr>
            <w:tcW w:w="251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FBA7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2884</w:t>
            </w:r>
          </w:p>
        </w:tc>
      </w:tr>
      <w:tr w14:paraId="131C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75BD1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" w:eastAsia="zh-CN" w:bidi="ar"/>
              </w:rPr>
              <w:t>港澳台</w:t>
            </w: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投资企业</w:t>
            </w:r>
          </w:p>
        </w:tc>
        <w:tc>
          <w:tcPr>
            <w:tcW w:w="26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AE94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51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6624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2D96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C793A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外商投资企业</w:t>
            </w:r>
          </w:p>
        </w:tc>
        <w:tc>
          <w:tcPr>
            <w:tcW w:w="26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299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51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1625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  <w:tr w14:paraId="71244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2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874DB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57" w:rightChars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其他统计类别</w:t>
            </w:r>
          </w:p>
        </w:tc>
        <w:tc>
          <w:tcPr>
            <w:tcW w:w="268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0EF6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2516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3B26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</w:tr>
    </w:tbl>
    <w:p w14:paraId="06631D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 w14:paraId="7DF16C7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0C0C0C"/>
          <w:spacing w:val="0"/>
          <w:kern w:val="0"/>
          <w:sz w:val="32"/>
          <w:szCs w:val="32"/>
          <w:highlight w:val="none"/>
          <w:lang w:val="en-US" w:eastAsia="zh-CN" w:bidi="ar"/>
        </w:rPr>
        <w:t>（二）主要经济指标</w:t>
      </w:r>
    </w:p>
    <w:p w14:paraId="0588E18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2023年末，租赁和商务服务业企业法人单位资产总计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1360334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。其中，租赁业企业法人单位资产总计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18668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，商务服务业企业法人单位资产总计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1341666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。租赁和商务服务业企业法人单位负债合计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387776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。</w:t>
      </w:r>
    </w:p>
    <w:p w14:paraId="50F39F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16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2023年，租赁和商务服务业企业法人单位全年实现营业收入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168565</w:t>
      </w:r>
      <w:r>
        <w:rPr>
          <w:rFonts w:hint="eastAsia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color w:val="0C0C0C"/>
          <w:spacing w:val="-6"/>
          <w:kern w:val="2"/>
          <w:sz w:val="32"/>
          <w:szCs w:val="32"/>
          <w:u w:val="none"/>
          <w:lang w:val="en-US" w:eastAsia="zh-CN" w:bidi="ar-SA"/>
        </w:rPr>
        <w:t>（详见表4-20）。</w:t>
      </w:r>
    </w:p>
    <w:p w14:paraId="07BD6C97">
      <w:pPr>
        <w:pStyle w:val="2"/>
        <w:rPr>
          <w:rFonts w:hint="eastAsia"/>
          <w:lang w:val="en-US" w:eastAsia="zh-CN"/>
        </w:rPr>
      </w:pPr>
    </w:p>
    <w:p w14:paraId="651C8A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20"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表4-</w:t>
      </w:r>
      <w:r>
        <w:rPr>
          <w:rFonts w:hint="default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" w:eastAsia="zh-CN" w:bidi="ar"/>
        </w:rPr>
        <w:t>20</w:t>
      </w: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>　按行业大类分组的租赁和商务服务业</w:t>
      </w:r>
    </w:p>
    <w:p w14:paraId="53DAB24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i w:val="0"/>
          <w:caps w:val="0"/>
          <w:color w:val="0C0C0C"/>
          <w:spacing w:val="0"/>
          <w:kern w:val="0"/>
          <w:sz w:val="24"/>
          <w:szCs w:val="24"/>
          <w:highlight w:val="none"/>
          <w:lang w:val="en-US" w:eastAsia="zh-CN" w:bidi="ar"/>
        </w:rPr>
        <w:t xml:space="preserve">  企业法人单位主要经济指标</w:t>
      </w:r>
    </w:p>
    <w:tbl>
      <w:tblPr>
        <w:tblStyle w:val="1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5"/>
        <w:gridCol w:w="1634"/>
        <w:gridCol w:w="1633"/>
        <w:gridCol w:w="1632"/>
      </w:tblGrid>
      <w:tr w14:paraId="49FC0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80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2AE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　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C2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资产总计</w:t>
            </w:r>
          </w:p>
          <w:p w14:paraId="0FEB21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B86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负债合计</w:t>
            </w:r>
          </w:p>
          <w:p w14:paraId="68EBEB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6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7A8D0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营业收入</w:t>
            </w:r>
          </w:p>
          <w:p w14:paraId="69A859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7"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宋体"/>
                <w:b/>
                <w:bCs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</w:p>
        </w:tc>
      </w:tr>
      <w:tr w14:paraId="5BE5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9E454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57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合　计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1A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1360334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876A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387776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69F0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168565</w:t>
            </w:r>
          </w:p>
        </w:tc>
      </w:tr>
      <w:tr w14:paraId="59483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C86D6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租赁业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46C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18668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2CF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11181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73D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13338</w:t>
            </w:r>
          </w:p>
        </w:tc>
      </w:tr>
      <w:tr w14:paraId="3B987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8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92133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57" w:firstLine="0" w:firstLineChars="0"/>
              <w:jc w:val="left"/>
              <w:textAlignment w:val="auto"/>
              <w:rPr>
                <w:rFonts w:hint="eastAsia" w:ascii="Times New Roman" w:hAnsi="Times New Roman" w:eastAsia="宋体" w:cs="宋体"/>
                <w:color w:val="0C0C0C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 w:bidi="ar"/>
              </w:rPr>
              <w:t>商务服务业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360F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1341666</w:t>
            </w:r>
          </w:p>
        </w:tc>
        <w:tc>
          <w:tcPr>
            <w:tcW w:w="16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E38C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376595</w:t>
            </w:r>
          </w:p>
        </w:tc>
        <w:tc>
          <w:tcPr>
            <w:tcW w:w="1641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 w14:paraId="04E09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color w:val="0C0C0C"/>
                <w:kern w:val="2"/>
                <w:sz w:val="21"/>
                <w:szCs w:val="21"/>
                <w:highlight w:val="none"/>
                <w:lang w:val="en-US" w:eastAsia="zh-CN" w:bidi="ar-SA"/>
              </w:rPr>
              <w:t>155227</w:t>
            </w:r>
          </w:p>
        </w:tc>
      </w:tr>
    </w:tbl>
    <w:p w14:paraId="55D9F4C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 w14:paraId="321D4FD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sz w:val="28"/>
          <w:szCs w:val="28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注释：</w:t>
      </w:r>
    </w:p>
    <w:p w14:paraId="185D71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[1]登记注册统计类别：根据国家统计局、国家市场监督管理总局《关于市场主体统计分类的划分规定》（国统字〔2023〕14号）确定，包括内资企业、港澳台投资企业和外商投资企业，以及农民专业合作社（联合社）等其他统计类别。</w:t>
      </w:r>
    </w:p>
    <w:p w14:paraId="42C493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Times New Roman" w:hAnsi="Times New Roman" w:cs="Times New Roman"/>
          <w:color w:val="0C0C0C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仿宋_GB2312"/>
          <w:i w:val="0"/>
          <w:caps w:val="0"/>
          <w:color w:val="0C0C0C"/>
          <w:spacing w:val="0"/>
          <w:kern w:val="0"/>
          <w:sz w:val="28"/>
          <w:szCs w:val="28"/>
          <w:highlight w:val="none"/>
          <w:lang w:val="en-US" w:eastAsia="zh-CN" w:bidi="ar"/>
        </w:rPr>
        <w:t>[2]表中的合计数和部分计算数据因小数取舍而产生的误差，均未作机械调整。为保证数据精确度，个别数据保留2位小数。</w:t>
      </w: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  <w:numRestart w:val="eachPage"/>
      </w:footnotePr>
      <w:pgSz w:w="11906" w:h="16838"/>
      <w:pgMar w:top="1701" w:right="1616" w:bottom="1701" w:left="1616" w:header="851" w:footer="147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5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FED18">
    <w:pPr>
      <w:pStyle w:val="12"/>
      <w:ind w:right="141" w:firstLine="560"/>
      <w:jc w:val="right"/>
      <w:rPr>
        <w:rFonts w:ascii="仿宋_GB2312" w:hAnsi="宋体" w:eastAsia="仿宋_GB2312"/>
        <w:caps/>
        <w:color w:val="auto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54D1B">
                          <w:pPr>
                            <w:pStyle w:val="12"/>
                            <w:ind w:left="0" w:leftChars="0"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/A0Lq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554D1B">
                    <w:pPr>
                      <w:pStyle w:val="12"/>
                      <w:ind w:left="0" w:leftChars="0"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982BD">
    <w:pPr>
      <w:pStyle w:val="12"/>
      <w:ind w:left="0" w:leftChars="0" w:right="141" w:firstLine="0" w:firstLineChars="0"/>
      <w:rPr>
        <w:rFonts w:ascii="仿宋_GB2312" w:hAnsi="宋体" w:eastAsia="仿宋_GB2312"/>
        <w:caps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D59AC">
                          <w:pPr>
                            <w:pStyle w:val="1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ASTvs3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6D59AC">
                    <w:pPr>
                      <w:pStyle w:val="1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3D3D5"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A7A44">
    <w:pPr>
      <w:pStyle w:val="1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dit="trackedChanges" w:enforcement="0"/>
  <w:defaultTabStop w:val="419"/>
  <w:hyphenationZone w:val="360"/>
  <w:drawingGridHorizontalSpacing w:val="150"/>
  <w:drawingGridVerticalSpacing w:val="29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0E"/>
    <w:rsid w:val="00024AFC"/>
    <w:rsid w:val="0007110E"/>
    <w:rsid w:val="000A3547"/>
    <w:rsid w:val="000A361D"/>
    <w:rsid w:val="000E1684"/>
    <w:rsid w:val="001C6C77"/>
    <w:rsid w:val="00280636"/>
    <w:rsid w:val="00301315"/>
    <w:rsid w:val="003976BE"/>
    <w:rsid w:val="003F5C4B"/>
    <w:rsid w:val="004135D6"/>
    <w:rsid w:val="00497D70"/>
    <w:rsid w:val="004B486E"/>
    <w:rsid w:val="00521108"/>
    <w:rsid w:val="00564D80"/>
    <w:rsid w:val="00573809"/>
    <w:rsid w:val="005A3D96"/>
    <w:rsid w:val="0064048B"/>
    <w:rsid w:val="00640F6F"/>
    <w:rsid w:val="006B013A"/>
    <w:rsid w:val="0078417E"/>
    <w:rsid w:val="007E6099"/>
    <w:rsid w:val="00846681"/>
    <w:rsid w:val="00971DF7"/>
    <w:rsid w:val="00AD7B0E"/>
    <w:rsid w:val="00B607F0"/>
    <w:rsid w:val="00CA51AD"/>
    <w:rsid w:val="00CC208C"/>
    <w:rsid w:val="00D01BC6"/>
    <w:rsid w:val="00D72D8B"/>
    <w:rsid w:val="00F6787A"/>
    <w:rsid w:val="00FF6638"/>
    <w:rsid w:val="01BB2CB6"/>
    <w:rsid w:val="020E4AAB"/>
    <w:rsid w:val="023A0FB7"/>
    <w:rsid w:val="02FA184C"/>
    <w:rsid w:val="06C60B10"/>
    <w:rsid w:val="079C635B"/>
    <w:rsid w:val="07FDD03F"/>
    <w:rsid w:val="088B519F"/>
    <w:rsid w:val="08F17998"/>
    <w:rsid w:val="09295EC1"/>
    <w:rsid w:val="094731F9"/>
    <w:rsid w:val="095F763D"/>
    <w:rsid w:val="0A744383"/>
    <w:rsid w:val="0A9F5332"/>
    <w:rsid w:val="0BF93B68"/>
    <w:rsid w:val="0C426AAC"/>
    <w:rsid w:val="0D0E18D2"/>
    <w:rsid w:val="0D7410F4"/>
    <w:rsid w:val="0FCED597"/>
    <w:rsid w:val="0FD97682"/>
    <w:rsid w:val="10C41590"/>
    <w:rsid w:val="1282068D"/>
    <w:rsid w:val="13BA1189"/>
    <w:rsid w:val="13FE1F96"/>
    <w:rsid w:val="14341821"/>
    <w:rsid w:val="145E31EC"/>
    <w:rsid w:val="14C55BB4"/>
    <w:rsid w:val="16F7A5AD"/>
    <w:rsid w:val="171B638F"/>
    <w:rsid w:val="17EFA947"/>
    <w:rsid w:val="17FF2253"/>
    <w:rsid w:val="19D7956D"/>
    <w:rsid w:val="19F96CC0"/>
    <w:rsid w:val="1B4E0845"/>
    <w:rsid w:val="1B6A49AA"/>
    <w:rsid w:val="1B76429E"/>
    <w:rsid w:val="1BF777DE"/>
    <w:rsid w:val="1BF92182"/>
    <w:rsid w:val="1BFF8275"/>
    <w:rsid w:val="1DF78592"/>
    <w:rsid w:val="1EDA7168"/>
    <w:rsid w:val="1F1F845E"/>
    <w:rsid w:val="1F3513EE"/>
    <w:rsid w:val="1F7D891F"/>
    <w:rsid w:val="1F900876"/>
    <w:rsid w:val="1FB543A2"/>
    <w:rsid w:val="1FBFF3C8"/>
    <w:rsid w:val="1FDF0803"/>
    <w:rsid w:val="1FEF11E6"/>
    <w:rsid w:val="1FF2D086"/>
    <w:rsid w:val="1FFF2E1C"/>
    <w:rsid w:val="1FFF7604"/>
    <w:rsid w:val="203514EB"/>
    <w:rsid w:val="208C5DEF"/>
    <w:rsid w:val="2154329C"/>
    <w:rsid w:val="21DB104E"/>
    <w:rsid w:val="233E28EC"/>
    <w:rsid w:val="23B40CCC"/>
    <w:rsid w:val="23DE17BB"/>
    <w:rsid w:val="24337ADC"/>
    <w:rsid w:val="24BF3D01"/>
    <w:rsid w:val="25335F94"/>
    <w:rsid w:val="25ED9684"/>
    <w:rsid w:val="277F4471"/>
    <w:rsid w:val="27DF4134"/>
    <w:rsid w:val="27F7A832"/>
    <w:rsid w:val="28DE0848"/>
    <w:rsid w:val="299F26BF"/>
    <w:rsid w:val="2A3F10C0"/>
    <w:rsid w:val="2ADB133E"/>
    <w:rsid w:val="2B3F47E3"/>
    <w:rsid w:val="2BE2330D"/>
    <w:rsid w:val="2BFF4474"/>
    <w:rsid w:val="2C2F181E"/>
    <w:rsid w:val="2DFB07DF"/>
    <w:rsid w:val="2E5B0595"/>
    <w:rsid w:val="2ED73919"/>
    <w:rsid w:val="2EFB1545"/>
    <w:rsid w:val="2EFE7D27"/>
    <w:rsid w:val="2EFFBB79"/>
    <w:rsid w:val="2F137074"/>
    <w:rsid w:val="2F3446BC"/>
    <w:rsid w:val="2F680504"/>
    <w:rsid w:val="2F6F264E"/>
    <w:rsid w:val="2FC30B07"/>
    <w:rsid w:val="2FDE77DF"/>
    <w:rsid w:val="2FDFEF9A"/>
    <w:rsid w:val="2FFB9CB3"/>
    <w:rsid w:val="2FFBBBE7"/>
    <w:rsid w:val="2FFFB3C2"/>
    <w:rsid w:val="2FFFF09F"/>
    <w:rsid w:val="30DC13F0"/>
    <w:rsid w:val="313752AF"/>
    <w:rsid w:val="31964168"/>
    <w:rsid w:val="31A0085A"/>
    <w:rsid w:val="32761C27"/>
    <w:rsid w:val="32A56DF0"/>
    <w:rsid w:val="33FE1CAA"/>
    <w:rsid w:val="354601FE"/>
    <w:rsid w:val="358F570B"/>
    <w:rsid w:val="35BB2451"/>
    <w:rsid w:val="35E00704"/>
    <w:rsid w:val="35F4492C"/>
    <w:rsid w:val="35FF2481"/>
    <w:rsid w:val="364FBC95"/>
    <w:rsid w:val="36FD8BFE"/>
    <w:rsid w:val="373B95BF"/>
    <w:rsid w:val="377DE033"/>
    <w:rsid w:val="3788E336"/>
    <w:rsid w:val="37DB3423"/>
    <w:rsid w:val="37DD16EE"/>
    <w:rsid w:val="37E9B8FB"/>
    <w:rsid w:val="37F88C10"/>
    <w:rsid w:val="37FEBAFE"/>
    <w:rsid w:val="3828C0DF"/>
    <w:rsid w:val="383E2AC8"/>
    <w:rsid w:val="38621249"/>
    <w:rsid w:val="38714B1A"/>
    <w:rsid w:val="392E12F9"/>
    <w:rsid w:val="3967FCC5"/>
    <w:rsid w:val="39752B2C"/>
    <w:rsid w:val="39797585"/>
    <w:rsid w:val="39AB74AD"/>
    <w:rsid w:val="39C7E559"/>
    <w:rsid w:val="39FE005B"/>
    <w:rsid w:val="3AE47CD5"/>
    <w:rsid w:val="3AFB561D"/>
    <w:rsid w:val="3B0609D4"/>
    <w:rsid w:val="3B1030A9"/>
    <w:rsid w:val="3B1CC29E"/>
    <w:rsid w:val="3B3F7D6C"/>
    <w:rsid w:val="3B7E03B0"/>
    <w:rsid w:val="3B7FF208"/>
    <w:rsid w:val="3B966D80"/>
    <w:rsid w:val="3C7B3A80"/>
    <w:rsid w:val="3C8619C1"/>
    <w:rsid w:val="3CB6A8E4"/>
    <w:rsid w:val="3CBCCEDB"/>
    <w:rsid w:val="3D79E0D3"/>
    <w:rsid w:val="3D7F77DA"/>
    <w:rsid w:val="3DAF2F47"/>
    <w:rsid w:val="3DCE2C96"/>
    <w:rsid w:val="3DF9EA1E"/>
    <w:rsid w:val="3DFF8516"/>
    <w:rsid w:val="3E405308"/>
    <w:rsid w:val="3EAF8340"/>
    <w:rsid w:val="3EE355C7"/>
    <w:rsid w:val="3EEEFAF5"/>
    <w:rsid w:val="3EF69AB6"/>
    <w:rsid w:val="3EF6C577"/>
    <w:rsid w:val="3EFE3D92"/>
    <w:rsid w:val="3EFF110E"/>
    <w:rsid w:val="3F035B34"/>
    <w:rsid w:val="3F3A7C32"/>
    <w:rsid w:val="3F6C638F"/>
    <w:rsid w:val="3F6FA6E2"/>
    <w:rsid w:val="3F794A82"/>
    <w:rsid w:val="3F7FC2E7"/>
    <w:rsid w:val="3F882D75"/>
    <w:rsid w:val="3FBCA29C"/>
    <w:rsid w:val="3FBD932F"/>
    <w:rsid w:val="3FBFBFB3"/>
    <w:rsid w:val="3FDACAF9"/>
    <w:rsid w:val="3FDBB7F6"/>
    <w:rsid w:val="3FDF7A7E"/>
    <w:rsid w:val="3FE988C8"/>
    <w:rsid w:val="3FE9A05D"/>
    <w:rsid w:val="3FEFBB25"/>
    <w:rsid w:val="3FF3766B"/>
    <w:rsid w:val="3FF3E1E5"/>
    <w:rsid w:val="3FFDD182"/>
    <w:rsid w:val="3FFE2BD1"/>
    <w:rsid w:val="3FFF3881"/>
    <w:rsid w:val="3FFFCD8D"/>
    <w:rsid w:val="3FFFD0A8"/>
    <w:rsid w:val="3FFFF6B6"/>
    <w:rsid w:val="40124070"/>
    <w:rsid w:val="40524017"/>
    <w:rsid w:val="417F061A"/>
    <w:rsid w:val="42863A85"/>
    <w:rsid w:val="42EB6426"/>
    <w:rsid w:val="436F5290"/>
    <w:rsid w:val="43A4791E"/>
    <w:rsid w:val="457BE601"/>
    <w:rsid w:val="46B3584F"/>
    <w:rsid w:val="46D77749"/>
    <w:rsid w:val="4780A15D"/>
    <w:rsid w:val="4787A648"/>
    <w:rsid w:val="47C8C0B6"/>
    <w:rsid w:val="47EFF6C2"/>
    <w:rsid w:val="493C1E50"/>
    <w:rsid w:val="4AFFFB5C"/>
    <w:rsid w:val="4B555515"/>
    <w:rsid w:val="4B5A099D"/>
    <w:rsid w:val="4B671843"/>
    <w:rsid w:val="4BFDB641"/>
    <w:rsid w:val="4BFF516E"/>
    <w:rsid w:val="4C170BEA"/>
    <w:rsid w:val="4E8D9E4F"/>
    <w:rsid w:val="4ECF780B"/>
    <w:rsid w:val="4EEA6C4D"/>
    <w:rsid w:val="4F1F9E04"/>
    <w:rsid w:val="4F3F3AB0"/>
    <w:rsid w:val="4F400944"/>
    <w:rsid w:val="4F4F996B"/>
    <w:rsid w:val="4F846F8A"/>
    <w:rsid w:val="4F9EB871"/>
    <w:rsid w:val="4FD77DB4"/>
    <w:rsid w:val="4FDDFC9A"/>
    <w:rsid w:val="4FDF6E9D"/>
    <w:rsid w:val="4FE84F5A"/>
    <w:rsid w:val="50287E93"/>
    <w:rsid w:val="506B3BA3"/>
    <w:rsid w:val="50EF7AB6"/>
    <w:rsid w:val="50FDCC9A"/>
    <w:rsid w:val="51B314F1"/>
    <w:rsid w:val="52E66C0D"/>
    <w:rsid w:val="52EF8584"/>
    <w:rsid w:val="532072A2"/>
    <w:rsid w:val="5349DDD2"/>
    <w:rsid w:val="53690DE6"/>
    <w:rsid w:val="53BE7452"/>
    <w:rsid w:val="53BEDF87"/>
    <w:rsid w:val="53BFD2C2"/>
    <w:rsid w:val="547F94BF"/>
    <w:rsid w:val="55465EF2"/>
    <w:rsid w:val="557FA8DF"/>
    <w:rsid w:val="55FB87A0"/>
    <w:rsid w:val="566B346B"/>
    <w:rsid w:val="56D30AEE"/>
    <w:rsid w:val="56EF7312"/>
    <w:rsid w:val="56FFFFF0"/>
    <w:rsid w:val="57778108"/>
    <w:rsid w:val="579E22B3"/>
    <w:rsid w:val="57AAB092"/>
    <w:rsid w:val="57AF36EC"/>
    <w:rsid w:val="57B6A4D2"/>
    <w:rsid w:val="57CFD1C4"/>
    <w:rsid w:val="57D3D6EF"/>
    <w:rsid w:val="57F7137D"/>
    <w:rsid w:val="57F7950D"/>
    <w:rsid w:val="57FD8CB0"/>
    <w:rsid w:val="57FFEE2E"/>
    <w:rsid w:val="58FE01EC"/>
    <w:rsid w:val="58FF2310"/>
    <w:rsid w:val="5926587E"/>
    <w:rsid w:val="59B1E942"/>
    <w:rsid w:val="59DCB919"/>
    <w:rsid w:val="59FF3DDF"/>
    <w:rsid w:val="59FFE264"/>
    <w:rsid w:val="5A080678"/>
    <w:rsid w:val="5B7B778A"/>
    <w:rsid w:val="5B8FE9A4"/>
    <w:rsid w:val="5BB65EFB"/>
    <w:rsid w:val="5BBFADCD"/>
    <w:rsid w:val="5BE75640"/>
    <w:rsid w:val="5BEF77BE"/>
    <w:rsid w:val="5BEFEE2A"/>
    <w:rsid w:val="5C3CE6AB"/>
    <w:rsid w:val="5C684F6F"/>
    <w:rsid w:val="5C9275C8"/>
    <w:rsid w:val="5CBA94C3"/>
    <w:rsid w:val="5D76FE7A"/>
    <w:rsid w:val="5D7B803F"/>
    <w:rsid w:val="5D7F6CFA"/>
    <w:rsid w:val="5D9B9EDA"/>
    <w:rsid w:val="5DBFC919"/>
    <w:rsid w:val="5DDF4958"/>
    <w:rsid w:val="5DED0326"/>
    <w:rsid w:val="5DFF415E"/>
    <w:rsid w:val="5E0F33C4"/>
    <w:rsid w:val="5E7B35D5"/>
    <w:rsid w:val="5EA5D34F"/>
    <w:rsid w:val="5EB52B1A"/>
    <w:rsid w:val="5EFA2AA4"/>
    <w:rsid w:val="5EFEB2AB"/>
    <w:rsid w:val="5EFF8CA2"/>
    <w:rsid w:val="5F560E7E"/>
    <w:rsid w:val="5F6B1E1F"/>
    <w:rsid w:val="5F771625"/>
    <w:rsid w:val="5F77C50B"/>
    <w:rsid w:val="5F7B21AE"/>
    <w:rsid w:val="5F99066A"/>
    <w:rsid w:val="5F9D495D"/>
    <w:rsid w:val="5FBDD67C"/>
    <w:rsid w:val="5FE7D4FF"/>
    <w:rsid w:val="5FEBAE1D"/>
    <w:rsid w:val="5FEF3068"/>
    <w:rsid w:val="5FEFC1BA"/>
    <w:rsid w:val="5FF32205"/>
    <w:rsid w:val="5FF77964"/>
    <w:rsid w:val="5FF9308B"/>
    <w:rsid w:val="5FFC3055"/>
    <w:rsid w:val="5FFDE742"/>
    <w:rsid w:val="5FFEA1F0"/>
    <w:rsid w:val="5FFEA941"/>
    <w:rsid w:val="5FFF6F3E"/>
    <w:rsid w:val="5FFFA1C4"/>
    <w:rsid w:val="5FFFB282"/>
    <w:rsid w:val="5FFFBB0F"/>
    <w:rsid w:val="6004301F"/>
    <w:rsid w:val="62F9DC1F"/>
    <w:rsid w:val="63AFF813"/>
    <w:rsid w:val="63E41D5A"/>
    <w:rsid w:val="63F42CF2"/>
    <w:rsid w:val="648D6577"/>
    <w:rsid w:val="64DFB11B"/>
    <w:rsid w:val="6565979E"/>
    <w:rsid w:val="6597E980"/>
    <w:rsid w:val="65D612DA"/>
    <w:rsid w:val="65FFD2EB"/>
    <w:rsid w:val="667DC1BF"/>
    <w:rsid w:val="66BEA5D1"/>
    <w:rsid w:val="66DC4A17"/>
    <w:rsid w:val="66F3C287"/>
    <w:rsid w:val="66F73158"/>
    <w:rsid w:val="671F0847"/>
    <w:rsid w:val="675CDF69"/>
    <w:rsid w:val="6777F0F0"/>
    <w:rsid w:val="677F94E6"/>
    <w:rsid w:val="67AB8142"/>
    <w:rsid w:val="67B31AFA"/>
    <w:rsid w:val="67D7A838"/>
    <w:rsid w:val="67DE33DC"/>
    <w:rsid w:val="67DF81A9"/>
    <w:rsid w:val="67EF69AF"/>
    <w:rsid w:val="67FF64BD"/>
    <w:rsid w:val="67FFB144"/>
    <w:rsid w:val="69232124"/>
    <w:rsid w:val="69FD92C5"/>
    <w:rsid w:val="69FF2363"/>
    <w:rsid w:val="6AA343B6"/>
    <w:rsid w:val="6AB6AAFD"/>
    <w:rsid w:val="6AF10865"/>
    <w:rsid w:val="6AF6DE1F"/>
    <w:rsid w:val="6B26AE95"/>
    <w:rsid w:val="6B5E76D6"/>
    <w:rsid w:val="6B7A305C"/>
    <w:rsid w:val="6BCF67BB"/>
    <w:rsid w:val="6BDB43A5"/>
    <w:rsid w:val="6BDF1904"/>
    <w:rsid w:val="6BDF2B02"/>
    <w:rsid w:val="6BEB4331"/>
    <w:rsid w:val="6BED904C"/>
    <w:rsid w:val="6BEFEA6C"/>
    <w:rsid w:val="6BF7CB23"/>
    <w:rsid w:val="6C89162F"/>
    <w:rsid w:val="6CDE5020"/>
    <w:rsid w:val="6CEF216E"/>
    <w:rsid w:val="6CFE5F65"/>
    <w:rsid w:val="6CFFBA0B"/>
    <w:rsid w:val="6D265075"/>
    <w:rsid w:val="6D3E78C0"/>
    <w:rsid w:val="6D714D4D"/>
    <w:rsid w:val="6D9CFC7E"/>
    <w:rsid w:val="6DB50625"/>
    <w:rsid w:val="6DB854D9"/>
    <w:rsid w:val="6DD744A7"/>
    <w:rsid w:val="6DFDB33B"/>
    <w:rsid w:val="6DFF9C7B"/>
    <w:rsid w:val="6DFFBC17"/>
    <w:rsid w:val="6E3F8DD3"/>
    <w:rsid w:val="6E645517"/>
    <w:rsid w:val="6EBED6D5"/>
    <w:rsid w:val="6ECA1356"/>
    <w:rsid w:val="6EDBBFFD"/>
    <w:rsid w:val="6EF03E78"/>
    <w:rsid w:val="6F2B4CD8"/>
    <w:rsid w:val="6F3CEEB6"/>
    <w:rsid w:val="6F6F9B37"/>
    <w:rsid w:val="6F79F453"/>
    <w:rsid w:val="6F7F1E4F"/>
    <w:rsid w:val="6F7FCC20"/>
    <w:rsid w:val="6FACDB2B"/>
    <w:rsid w:val="6FAF50A6"/>
    <w:rsid w:val="6FBAC5E5"/>
    <w:rsid w:val="6FBFB665"/>
    <w:rsid w:val="6FCFAE0A"/>
    <w:rsid w:val="6FD1D765"/>
    <w:rsid w:val="6FD6FDC6"/>
    <w:rsid w:val="6FDB184C"/>
    <w:rsid w:val="6FDEA5E8"/>
    <w:rsid w:val="6FDF8AD7"/>
    <w:rsid w:val="6FE87451"/>
    <w:rsid w:val="6FF61EF6"/>
    <w:rsid w:val="6FF6BFE9"/>
    <w:rsid w:val="6FF7A61A"/>
    <w:rsid w:val="6FF7F1E6"/>
    <w:rsid w:val="6FFD919F"/>
    <w:rsid w:val="6FFE1B0C"/>
    <w:rsid w:val="6FFE2679"/>
    <w:rsid w:val="6FFF2D4B"/>
    <w:rsid w:val="6FFF4A67"/>
    <w:rsid w:val="711C1764"/>
    <w:rsid w:val="71526589"/>
    <w:rsid w:val="717B472E"/>
    <w:rsid w:val="717C53B4"/>
    <w:rsid w:val="71BBBF4A"/>
    <w:rsid w:val="71EC9C23"/>
    <w:rsid w:val="71FC2881"/>
    <w:rsid w:val="729FB07C"/>
    <w:rsid w:val="733694F8"/>
    <w:rsid w:val="73DF17B3"/>
    <w:rsid w:val="73FEF5BD"/>
    <w:rsid w:val="745A3FB3"/>
    <w:rsid w:val="754B847B"/>
    <w:rsid w:val="756A7825"/>
    <w:rsid w:val="756F314B"/>
    <w:rsid w:val="75784357"/>
    <w:rsid w:val="757C2695"/>
    <w:rsid w:val="75DE0066"/>
    <w:rsid w:val="75EF6EC8"/>
    <w:rsid w:val="75F728F1"/>
    <w:rsid w:val="75F769BA"/>
    <w:rsid w:val="75FC3A6A"/>
    <w:rsid w:val="75FE7C71"/>
    <w:rsid w:val="75FEE4E5"/>
    <w:rsid w:val="75FF0002"/>
    <w:rsid w:val="761B12C1"/>
    <w:rsid w:val="76BD7FB9"/>
    <w:rsid w:val="76DA0954"/>
    <w:rsid w:val="76E4715B"/>
    <w:rsid w:val="76FDBE97"/>
    <w:rsid w:val="776970C0"/>
    <w:rsid w:val="776B3CBD"/>
    <w:rsid w:val="776DD1E5"/>
    <w:rsid w:val="777B91D2"/>
    <w:rsid w:val="7782132C"/>
    <w:rsid w:val="77B506F1"/>
    <w:rsid w:val="77B682F7"/>
    <w:rsid w:val="77BF378A"/>
    <w:rsid w:val="77BF7886"/>
    <w:rsid w:val="77CE3069"/>
    <w:rsid w:val="77D88B69"/>
    <w:rsid w:val="77DB9043"/>
    <w:rsid w:val="77E74A37"/>
    <w:rsid w:val="77FB63BB"/>
    <w:rsid w:val="77FB718A"/>
    <w:rsid w:val="77FE0681"/>
    <w:rsid w:val="77FF3FD6"/>
    <w:rsid w:val="77FFD5DC"/>
    <w:rsid w:val="77FFD787"/>
    <w:rsid w:val="785B576A"/>
    <w:rsid w:val="78A32DA7"/>
    <w:rsid w:val="78AE4455"/>
    <w:rsid w:val="78F65FB6"/>
    <w:rsid w:val="791E46C5"/>
    <w:rsid w:val="797EAE71"/>
    <w:rsid w:val="79DE60FF"/>
    <w:rsid w:val="79FBAA59"/>
    <w:rsid w:val="79FF782B"/>
    <w:rsid w:val="79FFD869"/>
    <w:rsid w:val="7A71C983"/>
    <w:rsid w:val="7ABFF5D1"/>
    <w:rsid w:val="7ACCD912"/>
    <w:rsid w:val="7AD937D2"/>
    <w:rsid w:val="7AEABAA8"/>
    <w:rsid w:val="7AECA1F1"/>
    <w:rsid w:val="7AF7F4C8"/>
    <w:rsid w:val="7B3F958A"/>
    <w:rsid w:val="7B427F36"/>
    <w:rsid w:val="7B525C37"/>
    <w:rsid w:val="7B59D48F"/>
    <w:rsid w:val="7B77E435"/>
    <w:rsid w:val="7B9BFD50"/>
    <w:rsid w:val="7BAF7FDD"/>
    <w:rsid w:val="7BBB3B9B"/>
    <w:rsid w:val="7BBB7943"/>
    <w:rsid w:val="7BBF268A"/>
    <w:rsid w:val="7BCF095B"/>
    <w:rsid w:val="7BCFAF3F"/>
    <w:rsid w:val="7BD740B6"/>
    <w:rsid w:val="7BE4A644"/>
    <w:rsid w:val="7BECBD5E"/>
    <w:rsid w:val="7BEFA03F"/>
    <w:rsid w:val="7BEFC472"/>
    <w:rsid w:val="7BF55460"/>
    <w:rsid w:val="7BF658CC"/>
    <w:rsid w:val="7BFAF6F5"/>
    <w:rsid w:val="7BFD3F94"/>
    <w:rsid w:val="7BFEDE25"/>
    <w:rsid w:val="7BFF7DA2"/>
    <w:rsid w:val="7BFFAA7F"/>
    <w:rsid w:val="7BFFC2F8"/>
    <w:rsid w:val="7C1BCD30"/>
    <w:rsid w:val="7C6FD7A3"/>
    <w:rsid w:val="7C974DAF"/>
    <w:rsid w:val="7C9FA705"/>
    <w:rsid w:val="7CAF68BB"/>
    <w:rsid w:val="7CCF08D7"/>
    <w:rsid w:val="7CEF34C0"/>
    <w:rsid w:val="7CF766AD"/>
    <w:rsid w:val="7CFE0B2C"/>
    <w:rsid w:val="7CFF17D1"/>
    <w:rsid w:val="7D3D678F"/>
    <w:rsid w:val="7D3EBDFD"/>
    <w:rsid w:val="7D4F17C0"/>
    <w:rsid w:val="7D5F09D1"/>
    <w:rsid w:val="7D761636"/>
    <w:rsid w:val="7D7F3892"/>
    <w:rsid w:val="7D7F53A3"/>
    <w:rsid w:val="7D9E8636"/>
    <w:rsid w:val="7DAF1609"/>
    <w:rsid w:val="7DAF571B"/>
    <w:rsid w:val="7DBCC9F8"/>
    <w:rsid w:val="7DC79A0F"/>
    <w:rsid w:val="7DC7FEAE"/>
    <w:rsid w:val="7DD784F3"/>
    <w:rsid w:val="7DDA3667"/>
    <w:rsid w:val="7DDC8189"/>
    <w:rsid w:val="7DDD02A5"/>
    <w:rsid w:val="7DDD936E"/>
    <w:rsid w:val="7DDFEEC8"/>
    <w:rsid w:val="7DF369A1"/>
    <w:rsid w:val="7DF7011E"/>
    <w:rsid w:val="7DF99FDF"/>
    <w:rsid w:val="7DF9D301"/>
    <w:rsid w:val="7DFB64B3"/>
    <w:rsid w:val="7DFBF617"/>
    <w:rsid w:val="7DFD1D1F"/>
    <w:rsid w:val="7DFE9093"/>
    <w:rsid w:val="7DFEC43C"/>
    <w:rsid w:val="7DFF979E"/>
    <w:rsid w:val="7DFFD495"/>
    <w:rsid w:val="7DFFF398"/>
    <w:rsid w:val="7DFFFF1E"/>
    <w:rsid w:val="7E4A7341"/>
    <w:rsid w:val="7E5DE123"/>
    <w:rsid w:val="7E7D5D84"/>
    <w:rsid w:val="7E7F3665"/>
    <w:rsid w:val="7E7F4D9C"/>
    <w:rsid w:val="7E85BF34"/>
    <w:rsid w:val="7E910A8D"/>
    <w:rsid w:val="7EB2F1A6"/>
    <w:rsid w:val="7EB349AD"/>
    <w:rsid w:val="7EB6C63F"/>
    <w:rsid w:val="7EBB2D53"/>
    <w:rsid w:val="7EBD16D2"/>
    <w:rsid w:val="7ECFE83B"/>
    <w:rsid w:val="7ED72962"/>
    <w:rsid w:val="7EDA51E1"/>
    <w:rsid w:val="7EDB33D3"/>
    <w:rsid w:val="7EEDCA17"/>
    <w:rsid w:val="7EEDEDD0"/>
    <w:rsid w:val="7EF3B29A"/>
    <w:rsid w:val="7EFB7D40"/>
    <w:rsid w:val="7EFC5661"/>
    <w:rsid w:val="7EFE3B00"/>
    <w:rsid w:val="7EFF24CF"/>
    <w:rsid w:val="7EFF5C10"/>
    <w:rsid w:val="7EFF8B5D"/>
    <w:rsid w:val="7EFF9AAE"/>
    <w:rsid w:val="7EFFAEFB"/>
    <w:rsid w:val="7F05D170"/>
    <w:rsid w:val="7F1B6520"/>
    <w:rsid w:val="7F2B1768"/>
    <w:rsid w:val="7F33D521"/>
    <w:rsid w:val="7F37374F"/>
    <w:rsid w:val="7F374C53"/>
    <w:rsid w:val="7F3F50F1"/>
    <w:rsid w:val="7F3FA11C"/>
    <w:rsid w:val="7F4B1E7C"/>
    <w:rsid w:val="7F4FD834"/>
    <w:rsid w:val="7F576C47"/>
    <w:rsid w:val="7F5F3797"/>
    <w:rsid w:val="7F6B5CE6"/>
    <w:rsid w:val="7F6DB752"/>
    <w:rsid w:val="7F6F2F9F"/>
    <w:rsid w:val="7F6F66F8"/>
    <w:rsid w:val="7F6FBD46"/>
    <w:rsid w:val="7F6FE163"/>
    <w:rsid w:val="7F7327C2"/>
    <w:rsid w:val="7F75065C"/>
    <w:rsid w:val="7F7D5A4E"/>
    <w:rsid w:val="7F7E8C31"/>
    <w:rsid w:val="7F7F9434"/>
    <w:rsid w:val="7F7F96E8"/>
    <w:rsid w:val="7F7FB06F"/>
    <w:rsid w:val="7F933C5A"/>
    <w:rsid w:val="7F942210"/>
    <w:rsid w:val="7F9C0C87"/>
    <w:rsid w:val="7F9C2CC4"/>
    <w:rsid w:val="7F9F588B"/>
    <w:rsid w:val="7FA219AA"/>
    <w:rsid w:val="7FADE3A0"/>
    <w:rsid w:val="7FAFC38E"/>
    <w:rsid w:val="7FB3A74E"/>
    <w:rsid w:val="7FB7ADD3"/>
    <w:rsid w:val="7FBB0E1B"/>
    <w:rsid w:val="7FBB3E29"/>
    <w:rsid w:val="7FBCE82B"/>
    <w:rsid w:val="7FBF2831"/>
    <w:rsid w:val="7FBF9599"/>
    <w:rsid w:val="7FBFC5B8"/>
    <w:rsid w:val="7FC45B5E"/>
    <w:rsid w:val="7FC6934E"/>
    <w:rsid w:val="7FCF87F9"/>
    <w:rsid w:val="7FD50703"/>
    <w:rsid w:val="7FD59F66"/>
    <w:rsid w:val="7FD7B89C"/>
    <w:rsid w:val="7FDBC184"/>
    <w:rsid w:val="7FDD08F7"/>
    <w:rsid w:val="7FDE53F4"/>
    <w:rsid w:val="7FDF1E08"/>
    <w:rsid w:val="7FDF5405"/>
    <w:rsid w:val="7FE7317F"/>
    <w:rsid w:val="7FE76965"/>
    <w:rsid w:val="7FEB9590"/>
    <w:rsid w:val="7FEBD8BC"/>
    <w:rsid w:val="7FEF3938"/>
    <w:rsid w:val="7FEF9B80"/>
    <w:rsid w:val="7FF286AB"/>
    <w:rsid w:val="7FF3500D"/>
    <w:rsid w:val="7FF49565"/>
    <w:rsid w:val="7FF58DDA"/>
    <w:rsid w:val="7FF9C0C0"/>
    <w:rsid w:val="7FF9CBE9"/>
    <w:rsid w:val="7FFB72D0"/>
    <w:rsid w:val="7FFBB85E"/>
    <w:rsid w:val="7FFBFDBF"/>
    <w:rsid w:val="7FFC377A"/>
    <w:rsid w:val="7FFC93B9"/>
    <w:rsid w:val="7FFCC2F9"/>
    <w:rsid w:val="7FFD8135"/>
    <w:rsid w:val="7FFD854E"/>
    <w:rsid w:val="7FFE1F5E"/>
    <w:rsid w:val="7FFE30BA"/>
    <w:rsid w:val="7FFF1B9B"/>
    <w:rsid w:val="7FFF49BF"/>
    <w:rsid w:val="7FFF77EE"/>
    <w:rsid w:val="7FFF82FD"/>
    <w:rsid w:val="7FFFFD5E"/>
    <w:rsid w:val="8D9FFEE8"/>
    <w:rsid w:val="8DFF67B0"/>
    <w:rsid w:val="8F6FD51A"/>
    <w:rsid w:val="8FB35B80"/>
    <w:rsid w:val="93BF9B53"/>
    <w:rsid w:val="94E18266"/>
    <w:rsid w:val="96F603F7"/>
    <w:rsid w:val="97375D13"/>
    <w:rsid w:val="97F7966C"/>
    <w:rsid w:val="99FFF18B"/>
    <w:rsid w:val="99FFF911"/>
    <w:rsid w:val="9BFFCE5B"/>
    <w:rsid w:val="9C74FD07"/>
    <w:rsid w:val="9D374CC7"/>
    <w:rsid w:val="9D7D53A7"/>
    <w:rsid w:val="9DEF6A5A"/>
    <w:rsid w:val="9E34E811"/>
    <w:rsid w:val="9E5F3B43"/>
    <w:rsid w:val="9F8D6B16"/>
    <w:rsid w:val="9FF9A152"/>
    <w:rsid w:val="9FFD6A54"/>
    <w:rsid w:val="9FFE46A0"/>
    <w:rsid w:val="9FFE7BD0"/>
    <w:rsid w:val="9FFF077D"/>
    <w:rsid w:val="9FFF97C9"/>
    <w:rsid w:val="A15DCB5A"/>
    <w:rsid w:val="A16782ED"/>
    <w:rsid w:val="A2E9026E"/>
    <w:rsid w:val="A3ED03F0"/>
    <w:rsid w:val="A3EF6A25"/>
    <w:rsid w:val="A5CF0D4C"/>
    <w:rsid w:val="A64A05E4"/>
    <w:rsid w:val="A6EEF8CC"/>
    <w:rsid w:val="A95FFDF1"/>
    <w:rsid w:val="AAFDD565"/>
    <w:rsid w:val="AB22C6FA"/>
    <w:rsid w:val="AB7FE89D"/>
    <w:rsid w:val="ADD63F42"/>
    <w:rsid w:val="AEB77811"/>
    <w:rsid w:val="AECF359B"/>
    <w:rsid w:val="AED38D05"/>
    <w:rsid w:val="AEF85348"/>
    <w:rsid w:val="AEFE876B"/>
    <w:rsid w:val="AEFF8DF0"/>
    <w:rsid w:val="AEFFE182"/>
    <w:rsid w:val="AFCD6EEF"/>
    <w:rsid w:val="AFF46019"/>
    <w:rsid w:val="AFFF1F22"/>
    <w:rsid w:val="B0B919CB"/>
    <w:rsid w:val="B0BEF232"/>
    <w:rsid w:val="B0DE7C14"/>
    <w:rsid w:val="B33FD52D"/>
    <w:rsid w:val="B3BF527B"/>
    <w:rsid w:val="B3FF0A75"/>
    <w:rsid w:val="B6F49A31"/>
    <w:rsid w:val="B73D3AFC"/>
    <w:rsid w:val="B74A1BFD"/>
    <w:rsid w:val="B77F1D9C"/>
    <w:rsid w:val="B7861478"/>
    <w:rsid w:val="B7B71C23"/>
    <w:rsid w:val="B7EC800D"/>
    <w:rsid w:val="B7F5E5CA"/>
    <w:rsid w:val="B7FB3351"/>
    <w:rsid w:val="B7FF4ACB"/>
    <w:rsid w:val="B7FF4F3A"/>
    <w:rsid w:val="B7FFA23A"/>
    <w:rsid w:val="B8F7B852"/>
    <w:rsid w:val="B8FF4E09"/>
    <w:rsid w:val="B97377C5"/>
    <w:rsid w:val="B97E1F6B"/>
    <w:rsid w:val="B9FB8F61"/>
    <w:rsid w:val="BABF1E9E"/>
    <w:rsid w:val="BAFBCB66"/>
    <w:rsid w:val="BB28C152"/>
    <w:rsid w:val="BB3B49A9"/>
    <w:rsid w:val="BB77E093"/>
    <w:rsid w:val="BB79F0E8"/>
    <w:rsid w:val="BBB90825"/>
    <w:rsid w:val="BBEBB27A"/>
    <w:rsid w:val="BBEE0192"/>
    <w:rsid w:val="BBF5A28A"/>
    <w:rsid w:val="BBFD23F5"/>
    <w:rsid w:val="BBFDE05B"/>
    <w:rsid w:val="BBFED913"/>
    <w:rsid w:val="BBFF236B"/>
    <w:rsid w:val="BD3D16BF"/>
    <w:rsid w:val="BD6DBFA0"/>
    <w:rsid w:val="BDDD025F"/>
    <w:rsid w:val="BDEEFD45"/>
    <w:rsid w:val="BDF78318"/>
    <w:rsid w:val="BDFF08BB"/>
    <w:rsid w:val="BE7D6112"/>
    <w:rsid w:val="BE7E8957"/>
    <w:rsid w:val="BEB4BDE6"/>
    <w:rsid w:val="BEBF7556"/>
    <w:rsid w:val="BECD258E"/>
    <w:rsid w:val="BEFF170A"/>
    <w:rsid w:val="BF3F4CA2"/>
    <w:rsid w:val="BF5C16C1"/>
    <w:rsid w:val="BF7F1AD2"/>
    <w:rsid w:val="BFB69314"/>
    <w:rsid w:val="BFBEE5A2"/>
    <w:rsid w:val="BFC713CE"/>
    <w:rsid w:val="BFEFEE90"/>
    <w:rsid w:val="BFFB1FDE"/>
    <w:rsid w:val="BFFB9B3B"/>
    <w:rsid w:val="BFFDA345"/>
    <w:rsid w:val="BFFEC18C"/>
    <w:rsid w:val="BFFF7B73"/>
    <w:rsid w:val="C53EFA8F"/>
    <w:rsid w:val="C787E456"/>
    <w:rsid w:val="C7D7C6AA"/>
    <w:rsid w:val="C7E71591"/>
    <w:rsid w:val="C7FF6631"/>
    <w:rsid w:val="CB79D3C3"/>
    <w:rsid w:val="CBFE179A"/>
    <w:rsid w:val="CCBFED94"/>
    <w:rsid w:val="CCFE67FE"/>
    <w:rsid w:val="CDFF3C25"/>
    <w:rsid w:val="CDFFDEF6"/>
    <w:rsid w:val="CEF434F0"/>
    <w:rsid w:val="CEFD0BE1"/>
    <w:rsid w:val="CEFF0E57"/>
    <w:rsid w:val="CEFFFD95"/>
    <w:rsid w:val="CF3BC05B"/>
    <w:rsid w:val="CF6EEAD5"/>
    <w:rsid w:val="CFBCD9E7"/>
    <w:rsid w:val="CFBFA188"/>
    <w:rsid w:val="CFE411C9"/>
    <w:rsid w:val="CFFB484C"/>
    <w:rsid w:val="CFFBE29A"/>
    <w:rsid w:val="D1DF1E58"/>
    <w:rsid w:val="D2D7F132"/>
    <w:rsid w:val="D353B270"/>
    <w:rsid w:val="D3DF06B8"/>
    <w:rsid w:val="D5FD6B9B"/>
    <w:rsid w:val="D6698FE4"/>
    <w:rsid w:val="D67FE14D"/>
    <w:rsid w:val="D6D74AE6"/>
    <w:rsid w:val="D6EFAD74"/>
    <w:rsid w:val="D71FF13A"/>
    <w:rsid w:val="D73A1D94"/>
    <w:rsid w:val="D75FDA64"/>
    <w:rsid w:val="D776037F"/>
    <w:rsid w:val="D7D7BD3C"/>
    <w:rsid w:val="D7EFFD09"/>
    <w:rsid w:val="D7FB9C66"/>
    <w:rsid w:val="D7FBDA8E"/>
    <w:rsid w:val="D7FCF921"/>
    <w:rsid w:val="D97D7B60"/>
    <w:rsid w:val="D9C7CDB8"/>
    <w:rsid w:val="D9D9097C"/>
    <w:rsid w:val="DB5B58ED"/>
    <w:rsid w:val="DBCEFB98"/>
    <w:rsid w:val="DBDE03C6"/>
    <w:rsid w:val="DBF383D7"/>
    <w:rsid w:val="DBF757DB"/>
    <w:rsid w:val="DBF7F320"/>
    <w:rsid w:val="DBFB338A"/>
    <w:rsid w:val="DCD79A75"/>
    <w:rsid w:val="DCDD8B9B"/>
    <w:rsid w:val="DD772335"/>
    <w:rsid w:val="DDAB440D"/>
    <w:rsid w:val="DDBF8B9D"/>
    <w:rsid w:val="DDC38E72"/>
    <w:rsid w:val="DDD79BD8"/>
    <w:rsid w:val="DDF44EA1"/>
    <w:rsid w:val="DDFBC6EE"/>
    <w:rsid w:val="DE6DCD1F"/>
    <w:rsid w:val="DE7F8832"/>
    <w:rsid w:val="DEBDFC51"/>
    <w:rsid w:val="DEDD9858"/>
    <w:rsid w:val="DEE84B83"/>
    <w:rsid w:val="DEEF68F5"/>
    <w:rsid w:val="DEFBCFDC"/>
    <w:rsid w:val="DEFF2D4C"/>
    <w:rsid w:val="DEFFD126"/>
    <w:rsid w:val="DF3FAA81"/>
    <w:rsid w:val="DF6FA601"/>
    <w:rsid w:val="DF6FC28F"/>
    <w:rsid w:val="DF750BCD"/>
    <w:rsid w:val="DF7C41F7"/>
    <w:rsid w:val="DF891F66"/>
    <w:rsid w:val="DF95AF6E"/>
    <w:rsid w:val="DF9FA9A1"/>
    <w:rsid w:val="DFB7C284"/>
    <w:rsid w:val="DFBBB04B"/>
    <w:rsid w:val="DFBE38F9"/>
    <w:rsid w:val="DFDBB725"/>
    <w:rsid w:val="DFDFB9FE"/>
    <w:rsid w:val="DFDFFB66"/>
    <w:rsid w:val="DFF3741C"/>
    <w:rsid w:val="DFF730EA"/>
    <w:rsid w:val="DFF78A4F"/>
    <w:rsid w:val="DFF9CA48"/>
    <w:rsid w:val="DFFE5456"/>
    <w:rsid w:val="E1E2AF4F"/>
    <w:rsid w:val="E3BF832D"/>
    <w:rsid w:val="E3FD1390"/>
    <w:rsid w:val="E3FF3C7F"/>
    <w:rsid w:val="E47A8668"/>
    <w:rsid w:val="E4BBC74D"/>
    <w:rsid w:val="E4BFF5FA"/>
    <w:rsid w:val="E57E358C"/>
    <w:rsid w:val="E5DF44D2"/>
    <w:rsid w:val="E5DF996B"/>
    <w:rsid w:val="E69FE65E"/>
    <w:rsid w:val="E73E98D2"/>
    <w:rsid w:val="E772FB3D"/>
    <w:rsid w:val="E7975A33"/>
    <w:rsid w:val="E7A71296"/>
    <w:rsid w:val="E7CFA36C"/>
    <w:rsid w:val="E7F54BC4"/>
    <w:rsid w:val="E7FFA82A"/>
    <w:rsid w:val="E8BFEACD"/>
    <w:rsid w:val="E9BFB38A"/>
    <w:rsid w:val="EAFEEDC8"/>
    <w:rsid w:val="EB3A2BC8"/>
    <w:rsid w:val="EB7D48AC"/>
    <w:rsid w:val="EB7FC1AB"/>
    <w:rsid w:val="EBDD3012"/>
    <w:rsid w:val="EBEB6DD6"/>
    <w:rsid w:val="EBFB4791"/>
    <w:rsid w:val="EBFE3F41"/>
    <w:rsid w:val="ECBA09BE"/>
    <w:rsid w:val="ECE54688"/>
    <w:rsid w:val="ED3584B4"/>
    <w:rsid w:val="ED5AEA48"/>
    <w:rsid w:val="EDBE4C0F"/>
    <w:rsid w:val="EDD54DDF"/>
    <w:rsid w:val="EDDFAED2"/>
    <w:rsid w:val="EDF96367"/>
    <w:rsid w:val="EDFB0E30"/>
    <w:rsid w:val="EDFBB2FD"/>
    <w:rsid w:val="EDFEDEB5"/>
    <w:rsid w:val="EDFFA5F3"/>
    <w:rsid w:val="EE2B0EE9"/>
    <w:rsid w:val="EE5EBA5C"/>
    <w:rsid w:val="EE7F3328"/>
    <w:rsid w:val="EE7FC9F4"/>
    <w:rsid w:val="EEB7B614"/>
    <w:rsid w:val="EEF6B240"/>
    <w:rsid w:val="EEF6EDD4"/>
    <w:rsid w:val="EF3A60F7"/>
    <w:rsid w:val="EF3E6A70"/>
    <w:rsid w:val="EF4C63EB"/>
    <w:rsid w:val="EF570B43"/>
    <w:rsid w:val="EF5EB496"/>
    <w:rsid w:val="EF7DA01E"/>
    <w:rsid w:val="EF7E59C7"/>
    <w:rsid w:val="EF9E7CA9"/>
    <w:rsid w:val="EFBD51E9"/>
    <w:rsid w:val="EFBF1154"/>
    <w:rsid w:val="EFBFFC22"/>
    <w:rsid w:val="EFCF1159"/>
    <w:rsid w:val="EFD51FDB"/>
    <w:rsid w:val="EFD649C0"/>
    <w:rsid w:val="EFDB004E"/>
    <w:rsid w:val="EFDB83A9"/>
    <w:rsid w:val="EFDC7317"/>
    <w:rsid w:val="EFEBB7BA"/>
    <w:rsid w:val="EFEE05B5"/>
    <w:rsid w:val="EFF3D71E"/>
    <w:rsid w:val="EFF7AE5B"/>
    <w:rsid w:val="EFF9B878"/>
    <w:rsid w:val="EFFBB2BF"/>
    <w:rsid w:val="EFFBB332"/>
    <w:rsid w:val="EFFC8E48"/>
    <w:rsid w:val="EFFDDDC0"/>
    <w:rsid w:val="F19729E1"/>
    <w:rsid w:val="F2DFA15D"/>
    <w:rsid w:val="F37D70D9"/>
    <w:rsid w:val="F3BDF6F8"/>
    <w:rsid w:val="F3BF9559"/>
    <w:rsid w:val="F3DB9E74"/>
    <w:rsid w:val="F3EC1020"/>
    <w:rsid w:val="F3FB2769"/>
    <w:rsid w:val="F3FD4BD8"/>
    <w:rsid w:val="F3FEB245"/>
    <w:rsid w:val="F3FF4888"/>
    <w:rsid w:val="F3FF7313"/>
    <w:rsid w:val="F4FDAC36"/>
    <w:rsid w:val="F56FFD99"/>
    <w:rsid w:val="F578DEA9"/>
    <w:rsid w:val="F57D80C2"/>
    <w:rsid w:val="F5A6FAB2"/>
    <w:rsid w:val="F5BD25CA"/>
    <w:rsid w:val="F5BFC38E"/>
    <w:rsid w:val="F5DDE00C"/>
    <w:rsid w:val="F5ED59BE"/>
    <w:rsid w:val="F5F5E510"/>
    <w:rsid w:val="F5FA480E"/>
    <w:rsid w:val="F5FED98C"/>
    <w:rsid w:val="F5FF54A3"/>
    <w:rsid w:val="F66ED806"/>
    <w:rsid w:val="F66FF0C4"/>
    <w:rsid w:val="F67F4D98"/>
    <w:rsid w:val="F6BB3242"/>
    <w:rsid w:val="F6BBEE3A"/>
    <w:rsid w:val="F6C79109"/>
    <w:rsid w:val="F6D344D4"/>
    <w:rsid w:val="F6DC9A90"/>
    <w:rsid w:val="F6E7A6B9"/>
    <w:rsid w:val="F6FA9BB0"/>
    <w:rsid w:val="F6FFCCA0"/>
    <w:rsid w:val="F73FFB86"/>
    <w:rsid w:val="F76B5F3E"/>
    <w:rsid w:val="F76D1472"/>
    <w:rsid w:val="F7BFA75C"/>
    <w:rsid w:val="F7D55553"/>
    <w:rsid w:val="F7E7B038"/>
    <w:rsid w:val="F7EB9E18"/>
    <w:rsid w:val="F7EE2E45"/>
    <w:rsid w:val="F7F3C19D"/>
    <w:rsid w:val="F7F97F4C"/>
    <w:rsid w:val="F7FB2DA9"/>
    <w:rsid w:val="F7FC0651"/>
    <w:rsid w:val="F7FF48AF"/>
    <w:rsid w:val="F7FF77A5"/>
    <w:rsid w:val="F84F6BCA"/>
    <w:rsid w:val="F947E6F8"/>
    <w:rsid w:val="F95B1724"/>
    <w:rsid w:val="F9C7D009"/>
    <w:rsid w:val="F9DE0C82"/>
    <w:rsid w:val="F9F6F188"/>
    <w:rsid w:val="F9F7C2DE"/>
    <w:rsid w:val="F9FBA1FD"/>
    <w:rsid w:val="FA1A8C87"/>
    <w:rsid w:val="FA5F28DA"/>
    <w:rsid w:val="FA770C3E"/>
    <w:rsid w:val="FA7CB5F9"/>
    <w:rsid w:val="FAB2A516"/>
    <w:rsid w:val="FAFD5022"/>
    <w:rsid w:val="FAFE4C17"/>
    <w:rsid w:val="FAFF2CAB"/>
    <w:rsid w:val="FB353988"/>
    <w:rsid w:val="FB37831A"/>
    <w:rsid w:val="FB5FDB16"/>
    <w:rsid w:val="FB761826"/>
    <w:rsid w:val="FB7B23E2"/>
    <w:rsid w:val="FBAFBA5F"/>
    <w:rsid w:val="FBB0E278"/>
    <w:rsid w:val="FBB4B03D"/>
    <w:rsid w:val="FBBAC5F4"/>
    <w:rsid w:val="FBCA2701"/>
    <w:rsid w:val="FBD32E91"/>
    <w:rsid w:val="FBEB5B89"/>
    <w:rsid w:val="FBEEEE22"/>
    <w:rsid w:val="FBF35A1C"/>
    <w:rsid w:val="FBF3C4F3"/>
    <w:rsid w:val="FBF52CA8"/>
    <w:rsid w:val="FBF6D388"/>
    <w:rsid w:val="FBF81654"/>
    <w:rsid w:val="FBFB1268"/>
    <w:rsid w:val="FBFDD31B"/>
    <w:rsid w:val="FBFE2CCB"/>
    <w:rsid w:val="FBFF66B1"/>
    <w:rsid w:val="FBFF7972"/>
    <w:rsid w:val="FC7F06E1"/>
    <w:rsid w:val="FCB73164"/>
    <w:rsid w:val="FCB9850F"/>
    <w:rsid w:val="FCFA55D1"/>
    <w:rsid w:val="FCFB3BFF"/>
    <w:rsid w:val="FCFC1072"/>
    <w:rsid w:val="FCFF597E"/>
    <w:rsid w:val="FD411F61"/>
    <w:rsid w:val="FD7462A5"/>
    <w:rsid w:val="FD7B9578"/>
    <w:rsid w:val="FD7EC8D2"/>
    <w:rsid w:val="FDB02A90"/>
    <w:rsid w:val="FDBD03C9"/>
    <w:rsid w:val="FDBF0559"/>
    <w:rsid w:val="FDBF0EB3"/>
    <w:rsid w:val="FDBFE0F4"/>
    <w:rsid w:val="FDCD25D2"/>
    <w:rsid w:val="FDCF5887"/>
    <w:rsid w:val="FDDCECF0"/>
    <w:rsid w:val="FDEB76A3"/>
    <w:rsid w:val="FDEE3C07"/>
    <w:rsid w:val="FDF70207"/>
    <w:rsid w:val="FDF7C9CA"/>
    <w:rsid w:val="FDFB874C"/>
    <w:rsid w:val="FDFEB004"/>
    <w:rsid w:val="FDFF3BD8"/>
    <w:rsid w:val="FDFF5147"/>
    <w:rsid w:val="FDFF81C1"/>
    <w:rsid w:val="FE3E2DE8"/>
    <w:rsid w:val="FE5B511C"/>
    <w:rsid w:val="FE639D78"/>
    <w:rsid w:val="FE6F15F4"/>
    <w:rsid w:val="FE6FB8F4"/>
    <w:rsid w:val="FE791E90"/>
    <w:rsid w:val="FE9E4482"/>
    <w:rsid w:val="FEBA7528"/>
    <w:rsid w:val="FEBCC523"/>
    <w:rsid w:val="FEBFF021"/>
    <w:rsid w:val="FEDB6F1E"/>
    <w:rsid w:val="FEEA10A3"/>
    <w:rsid w:val="FEEDB980"/>
    <w:rsid w:val="FEEECE37"/>
    <w:rsid w:val="FEEEEDC1"/>
    <w:rsid w:val="FEF76BD3"/>
    <w:rsid w:val="FEF7F4AB"/>
    <w:rsid w:val="FEFAD0F8"/>
    <w:rsid w:val="FEFC0CCB"/>
    <w:rsid w:val="FEFC12E5"/>
    <w:rsid w:val="FEFC9427"/>
    <w:rsid w:val="FEFEE61A"/>
    <w:rsid w:val="FEFF199F"/>
    <w:rsid w:val="FEFFB4B8"/>
    <w:rsid w:val="FF1E8F36"/>
    <w:rsid w:val="FF2A26BC"/>
    <w:rsid w:val="FF3D4CCF"/>
    <w:rsid w:val="FF3FCECD"/>
    <w:rsid w:val="FF52375B"/>
    <w:rsid w:val="FF53FF38"/>
    <w:rsid w:val="FF57B32D"/>
    <w:rsid w:val="FF5B46D6"/>
    <w:rsid w:val="FF770AF0"/>
    <w:rsid w:val="FF7AE14D"/>
    <w:rsid w:val="FF7BBBA7"/>
    <w:rsid w:val="FF7D9DF9"/>
    <w:rsid w:val="FF7F4875"/>
    <w:rsid w:val="FF7F5E02"/>
    <w:rsid w:val="FF7F851A"/>
    <w:rsid w:val="FF9DBFED"/>
    <w:rsid w:val="FFA7A4FA"/>
    <w:rsid w:val="FFAA93DB"/>
    <w:rsid w:val="FFAB09E8"/>
    <w:rsid w:val="FFB5FA03"/>
    <w:rsid w:val="FFB710DF"/>
    <w:rsid w:val="FFB8B9E1"/>
    <w:rsid w:val="FFBB3901"/>
    <w:rsid w:val="FFBB7EAD"/>
    <w:rsid w:val="FFBD116E"/>
    <w:rsid w:val="FFBEE444"/>
    <w:rsid w:val="FFBF19B9"/>
    <w:rsid w:val="FFBF5C6D"/>
    <w:rsid w:val="FFBFAC64"/>
    <w:rsid w:val="FFCDEE64"/>
    <w:rsid w:val="FFCF87AD"/>
    <w:rsid w:val="FFCF9EA2"/>
    <w:rsid w:val="FFCFB67F"/>
    <w:rsid w:val="FFCFEE96"/>
    <w:rsid w:val="FFD662CA"/>
    <w:rsid w:val="FFD9DCB4"/>
    <w:rsid w:val="FFDE8917"/>
    <w:rsid w:val="FFDEAB6C"/>
    <w:rsid w:val="FFDF692A"/>
    <w:rsid w:val="FFDF6D78"/>
    <w:rsid w:val="FFDFF9A5"/>
    <w:rsid w:val="FFE55730"/>
    <w:rsid w:val="FFE66B95"/>
    <w:rsid w:val="FFE737CD"/>
    <w:rsid w:val="FFEB6A4E"/>
    <w:rsid w:val="FFEBB628"/>
    <w:rsid w:val="FFEF7932"/>
    <w:rsid w:val="FFEFEC9B"/>
    <w:rsid w:val="FFEFF8BF"/>
    <w:rsid w:val="FFF2E2E8"/>
    <w:rsid w:val="FFF5FF60"/>
    <w:rsid w:val="FFF79CEC"/>
    <w:rsid w:val="FFF7FBEB"/>
    <w:rsid w:val="FFF881EB"/>
    <w:rsid w:val="FFF9A72A"/>
    <w:rsid w:val="FFFB7081"/>
    <w:rsid w:val="FFFD8124"/>
    <w:rsid w:val="FFFDDCBA"/>
    <w:rsid w:val="FFFF1388"/>
    <w:rsid w:val="FFFF18EE"/>
    <w:rsid w:val="FFFF1C3D"/>
    <w:rsid w:val="FFFF2AEE"/>
    <w:rsid w:val="FFFF3DC5"/>
    <w:rsid w:val="FFFF41FF"/>
    <w:rsid w:val="FFFF506C"/>
    <w:rsid w:val="FFFF7105"/>
    <w:rsid w:val="FFFFC5D8"/>
    <w:rsid w:val="FFFFCA33"/>
    <w:rsid w:val="FFFFF0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unhideWhenUsed="0" w:uiPriority="9" w:name="heading 4" w:locked="1"/>
    <w:lsdException w:qFormat="1" w:unhideWhenUsed="0" w:uiPriority="9" w:name="heading 5" w:locked="1"/>
    <w:lsdException w:qFormat="1" w:unhideWhenUsed="0" w:uiPriority="9" w:name="heading 6" w:locked="1"/>
    <w:lsdException w:qFormat="1" w:unhideWhenUsed="0" w:uiPriority="9" w:name="heading 7" w:locked="1"/>
    <w:lsdException w:qFormat="1" w:unhideWhenUsed="0" w:uiPriority="9" w:name="heading 8" w:locked="1"/>
    <w:lsdException w:qFormat="1" w:unhideWhenUsed="0" w:uiPriority="9" w:name="heading 9" w:locked="1"/>
    <w:lsdException w:unhideWhenUsed="0" w:uiPriority="99" w:name="index 1" w:locked="1"/>
    <w:lsdException w:unhideWhenUsed="0" w:uiPriority="99" w:name="index 2" w:locked="1"/>
    <w:lsdException w:unhideWhenUsed="0" w:uiPriority="99" w:name="index 3" w:locked="1"/>
    <w:lsdException w:unhideWhenUsed="0" w:uiPriority="99" w:name="index 4" w:locked="1"/>
    <w:lsdException w:unhideWhenUsed="0" w:uiPriority="99" w:name="index 5" w:locked="1"/>
    <w:lsdException w:unhideWhenUsed="0" w:uiPriority="99" w:name="index 6" w:locked="1"/>
    <w:lsdException w:unhideWhenUsed="0" w:uiPriority="99" w:name="index 7" w:locked="1"/>
    <w:lsdException w:unhideWhenUsed="0" w:uiPriority="99" w:name="index 8" w:locked="1"/>
    <w:lsdException w:unhideWhenUsed="0" w:uiPriority="99" w:name="index 9" w:locked="1"/>
    <w:lsdException w:unhideWhenUsed="0" w:uiPriority="39" w:name="toc 1" w:locked="1"/>
    <w:lsdException w:qFormat="1" w:uiPriority="39" w:semiHidden="0" w:name="toc 2" w:locked="1"/>
    <w:lsdException w:qFormat="1" w:uiPriority="39" w:semiHidden="0" w:name="toc 3" w:locked="1"/>
    <w:lsdException w:unhideWhenUsed="0" w:uiPriority="39" w:name="toc 4" w:locked="1"/>
    <w:lsdException w:qFormat="1" w:unhideWhenUsed="0" w:uiPriority="0" w:semiHidden="0" w:name="toc 5" w:locked="1"/>
    <w:lsdException w:unhideWhenUsed="0" w:uiPriority="39" w:name="toc 6" w:locked="1"/>
    <w:lsdException w:unhideWhenUsed="0" w:uiPriority="39" w:name="toc 7" w:locked="1"/>
    <w:lsdException w:unhideWhenUsed="0" w:uiPriority="39" w:name="toc 8" w:locked="1"/>
    <w:lsdException w:unhideWhenUsed="0" w:uiPriority="39" w:name="toc 9" w:locked="1"/>
    <w:lsdException w:qFormat="1" w:unhideWhenUsed="0" w:uiPriority="0" w:semiHidden="0" w:name="Normal Indent" w:locked="1"/>
    <w:lsdException w:qFormat="1" w:uiPriority="99" w:semiHidden="0" w:name="footnote text" w:locked="1"/>
    <w:lsdException w:unhideWhenUsed="0" w:uiPriority="99" w:name="annotation text" w:locked="1"/>
    <w:lsdException w:unhideWhenUsed="0" w:uiPriority="99" w:name="header" w:locked="1"/>
    <w:lsdException w:unhideWhenUsed="0" w:uiPriority="99" w:name="footer" w:locked="1"/>
    <w:lsdException w:unhideWhenUsed="0" w:uiPriority="99" w:name="index heading" w:locked="1"/>
    <w:lsdException w:qFormat="1" w:unhideWhenUsed="0" w:uiPriority="35" w:name="caption" w:locked="1"/>
    <w:lsdException w:unhideWhenUsed="0" w:uiPriority="99" w:name="table of figures" w:locked="1"/>
    <w:lsdException w:unhideWhenUsed="0" w:uiPriority="99" w:name="envelope address" w:locked="1"/>
    <w:lsdException w:unhideWhenUsed="0" w:uiPriority="99" w:name="envelope return" w:locked="1"/>
    <w:lsdException w:qFormat="1" w:uiPriority="99" w:semiHidden="0" w:name="footnote reference" w:locked="1"/>
    <w:lsdException w:unhideWhenUsed="0" w:uiPriority="99" w:name="annotation reference" w:locked="1"/>
    <w:lsdException w:unhideWhenUsed="0" w:uiPriority="99" w:name="line number" w:locked="1"/>
    <w:lsdException w:qFormat="1" w:unhideWhenUsed="0" w:uiPriority="0" w:semiHidden="0" w:name="page number" w:locked="1"/>
    <w:lsdException w:unhideWhenUsed="0" w:uiPriority="99" w:name="endnote reference" w:locked="1"/>
    <w:lsdException w:unhideWhenUsed="0" w:uiPriority="99" w:name="endnote text" w:locked="1"/>
    <w:lsdException w:unhideWhenUsed="0" w:uiPriority="99" w:name="table of authorities" w:locked="1"/>
    <w:lsdException w:unhideWhenUsed="0" w:uiPriority="99" w:name="macro" w:locked="1"/>
    <w:lsdException w:unhideWhenUsed="0" w:uiPriority="99" w:name="toa heading" w:locked="1"/>
    <w:lsdException w:unhideWhenUsed="0" w:uiPriority="99" w:name="List" w:locked="1"/>
    <w:lsdException w:unhideWhenUsed="0" w:uiPriority="99" w:name="List Bullet" w:locked="1"/>
    <w:lsdException w:unhideWhenUsed="0" w:uiPriority="99" w:name="List Number" w:locked="1"/>
    <w:lsdException w:unhideWhenUsed="0" w:uiPriority="99" w:name="List 2" w:locked="1"/>
    <w:lsdException w:unhideWhenUsed="0" w:uiPriority="99" w:name="List 3" w:locked="1"/>
    <w:lsdException w:unhideWhenUsed="0" w:uiPriority="99" w:name="List 4" w:locked="1"/>
    <w:lsdException w:unhideWhenUsed="0" w:uiPriority="99" w:name="List 5" w:locked="1"/>
    <w:lsdException w:unhideWhenUsed="0" w:uiPriority="99" w:name="List Bullet 2" w:locked="1"/>
    <w:lsdException w:unhideWhenUsed="0" w:uiPriority="99" w:name="List Bullet 3" w:locked="1"/>
    <w:lsdException w:unhideWhenUsed="0" w:uiPriority="99" w:name="List Bullet 4" w:locked="1"/>
    <w:lsdException w:unhideWhenUsed="0" w:uiPriority="99" w:name="List Bullet 5" w:locked="1"/>
    <w:lsdException w:unhideWhenUsed="0" w:uiPriority="99" w:name="List Number 2" w:locked="1"/>
    <w:lsdException w:unhideWhenUsed="0" w:uiPriority="99" w:name="List Number 3" w:locked="1"/>
    <w:lsdException w:unhideWhenUsed="0" w:uiPriority="99" w:name="List Number 4" w:locked="1"/>
    <w:lsdException w:unhideWhenUsed="0" w:uiPriority="99" w:name="List Number 5" w:locked="1"/>
    <w:lsdException w:qFormat="1" w:unhideWhenUsed="0" w:uiPriority="10" w:semiHidden="0" w:name="Title" w:locked="1"/>
    <w:lsdException w:unhideWhenUsed="0" w:uiPriority="99" w:name="Closing" w:locked="1"/>
    <w:lsdException w:unhideWhenUsed="0" w:uiPriority="99" w:name="Signature" w:locked="1"/>
    <w:lsdException w:unhideWhenUsed="0" w:uiPriority="1" w:name="Default Paragraph Font"/>
    <w:lsdException w:qFormat="1" w:unhideWhenUsed="0" w:uiPriority="0" w:semiHidden="0" w:name="Body Text" w:locked="1"/>
    <w:lsdException w:qFormat="1" w:unhideWhenUsed="0" w:uiPriority="99" w:semiHidden="0" w:name="Body Text Indent" w:locked="1"/>
    <w:lsdException w:unhideWhenUsed="0" w:uiPriority="99" w:name="List Continue" w:locked="1"/>
    <w:lsdException w:unhideWhenUsed="0" w:uiPriority="99" w:name="List Continue 2" w:locked="1"/>
    <w:lsdException w:unhideWhenUsed="0" w:uiPriority="99" w:name="List Continue 3" w:locked="1"/>
    <w:lsdException w:unhideWhenUsed="0" w:uiPriority="99" w:name="List Continue 4" w:locked="1"/>
    <w:lsdException w:unhideWhenUsed="0" w:uiPriority="99" w:name="List Continue 5" w:locked="1"/>
    <w:lsdException w:unhideWhenUsed="0" w:uiPriority="99" w:name="Message Header" w:locked="1"/>
    <w:lsdException w:unhideWhenUsed="0" w:uiPriority="11" w:name="Subtitle" w:locked="1"/>
    <w:lsdException w:unhideWhenUsed="0" w:uiPriority="99" w:name="Salutation" w:locked="1"/>
    <w:lsdException w:unhideWhenUsed="0" w:uiPriority="99" w:name="Date" w:locked="1"/>
    <w:lsdException w:qFormat="1" w:uiPriority="99" w:semiHidden="0" w:name="Body Text First Indent" w:locked="1"/>
    <w:lsdException w:qFormat="1" w:unhideWhenUsed="0" w:uiPriority="0" w:semiHidden="0" w:name="Body Text First Indent 2" w:locked="1"/>
    <w:lsdException w:unhideWhenUsed="0" w:uiPriority="99" w:name="Note Heading" w:locked="1"/>
    <w:lsdException w:unhideWhenUsed="0" w:uiPriority="99" w:name="Body Text 2" w:locked="1"/>
    <w:lsdException w:unhideWhenUsed="0" w:uiPriority="99" w:name="Body Text 3" w:locked="1"/>
    <w:lsdException w:unhideWhenUsed="0" w:uiPriority="99" w:name="Body Text Indent 2" w:locked="1"/>
    <w:lsdException w:unhideWhenUsed="0" w:uiPriority="99" w:name="Body Text Indent 3" w:locked="1"/>
    <w:lsdException w:unhideWhenUsed="0" w:uiPriority="99" w:name="Block Text" w:locked="1"/>
    <w:lsdException w:unhideWhenUsed="0" w:uiPriority="99" w:name="Hyperlink" w:locked="1"/>
    <w:lsdException w:unhideWhenUsed="0" w:uiPriority="99" w:name="FollowedHyperlink" w:locked="1"/>
    <w:lsdException w:qFormat="1" w:unhideWhenUsed="0" w:uiPriority="0" w:semiHidden="0" w:name="Strong" w:locked="1"/>
    <w:lsdException w:unhideWhenUsed="0" w:uiPriority="20" w:name="Emphasis" w:locked="1"/>
    <w:lsdException w:unhideWhenUsed="0" w:uiPriority="99" w:name="Document Map" w:locked="1"/>
    <w:lsdException w:unhideWhenUsed="0" w:uiPriority="99" w:name="Plain Text" w:locked="1"/>
    <w:lsdException w:unhideWhenUsed="0" w:uiPriority="99" w:name="E-mail Signature" w:locked="1"/>
    <w:lsdException w:unhideWhenUsed="0" w:uiPriority="0" w:semiHidden="0" w:name="Normal (Web)" w:locked="1"/>
    <w:lsdException w:unhideWhenUsed="0" w:uiPriority="99" w:name="HTML Acronym" w:locked="1"/>
    <w:lsdException w:unhideWhenUsed="0" w:uiPriority="99" w:name="HTML Address" w:locked="1"/>
    <w:lsdException w:unhideWhenUsed="0" w:uiPriority="99" w:name="HTML Cite" w:locked="1"/>
    <w:lsdException w:unhideWhenUsed="0" w:uiPriority="99" w:name="HTML Code" w:locked="1"/>
    <w:lsdException w:unhideWhenUsed="0" w:uiPriority="99" w:name="HTML Definition" w:locked="1"/>
    <w:lsdException w:unhideWhenUsed="0" w:uiPriority="99" w:name="HTML Keyboard" w:locked="1"/>
    <w:lsdException w:unhideWhenUsed="0" w:uiPriority="99" w:name="HTML Preformatted" w:locked="1"/>
    <w:lsdException w:unhideWhenUsed="0" w:uiPriority="99" w:name="HTML Sample" w:locked="1"/>
    <w:lsdException w:unhideWhenUsed="0" w:uiPriority="99" w:name="HTML Typewriter" w:locked="1"/>
    <w:lsdException w:unhideWhenUsed="0" w:uiPriority="99" w:name="HTML Variable" w:locked="1"/>
    <w:lsdException w:uiPriority="99" w:semiHidden="0" w:name="Normal Table"/>
    <w:lsdException w:unhideWhenUsed="0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 w:locked="1"/>
    <w:lsdException w:unhideWhenUsed="0" w:uiPriority="61" w:semiHidden="0" w:name="Light List" w:locked="1"/>
    <w:lsdException w:unhideWhenUsed="0" w:uiPriority="62" w:semiHidden="0" w:name="Light Grid" w:locked="1"/>
    <w:lsdException w:unhideWhenUsed="0" w:uiPriority="63" w:semiHidden="0" w:name="Medium Shading 1" w:locked="1"/>
    <w:lsdException w:unhideWhenUsed="0" w:uiPriority="64" w:semiHidden="0" w:name="Medium Shading 2" w:locked="1"/>
    <w:lsdException w:unhideWhenUsed="0" w:uiPriority="65" w:semiHidden="0" w:name="Medium List 1" w:locked="1"/>
    <w:lsdException w:unhideWhenUsed="0" w:uiPriority="66" w:semiHidden="0" w:name="Medium List 2" w:locked="1"/>
    <w:lsdException w:unhideWhenUsed="0" w:uiPriority="67" w:semiHidden="0" w:name="Medium Grid 1" w:locked="1"/>
    <w:lsdException w:unhideWhenUsed="0" w:uiPriority="68" w:semiHidden="0" w:name="Medium Grid 2" w:locked="1"/>
    <w:lsdException w:unhideWhenUsed="0" w:uiPriority="69" w:semiHidden="0" w:name="Medium Grid 3" w:locked="1"/>
    <w:lsdException w:unhideWhenUsed="0" w:uiPriority="70" w:semiHidden="0" w:name="Dark List" w:locked="1"/>
    <w:lsdException w:unhideWhenUsed="0" w:uiPriority="71" w:semiHidden="0" w:name="Colorful Shading" w:locked="1"/>
    <w:lsdException w:unhideWhenUsed="0" w:uiPriority="72" w:semiHidden="0" w:name="Colorful List" w:locked="1"/>
    <w:lsdException w:unhideWhenUsed="0" w:uiPriority="73" w:semiHidden="0" w:name="Colorful Grid" w:locked="1"/>
    <w:lsdException w:unhideWhenUsed="0" w:uiPriority="60" w:semiHidden="0" w:name="Light Shading Accent 1" w:locked="1"/>
    <w:lsdException w:unhideWhenUsed="0" w:uiPriority="61" w:semiHidden="0" w:name="Light List Accent 1" w:locked="1"/>
    <w:lsdException w:unhideWhenUsed="0" w:uiPriority="62" w:semiHidden="0" w:name="Light Grid Accent 1" w:locked="1"/>
    <w:lsdException w:unhideWhenUsed="0" w:uiPriority="63" w:semiHidden="0" w:name="Medium Shading 1 Accent 1" w:locked="1"/>
    <w:lsdException w:unhideWhenUsed="0" w:uiPriority="64" w:semiHidden="0" w:name="Medium Shading 2 Accent 1" w:locked="1"/>
    <w:lsdException w:unhideWhenUsed="0" w:uiPriority="65" w:semiHidden="0" w:name="Medium List 1 Accent 1" w:locked="1"/>
    <w:lsdException w:unhideWhenUsed="0" w:uiPriority="66" w:semiHidden="0" w:name="Medium List 2 Accent 1" w:locked="1"/>
    <w:lsdException w:unhideWhenUsed="0" w:uiPriority="67" w:semiHidden="0" w:name="Medium Grid 1 Accent 1" w:locked="1"/>
    <w:lsdException w:unhideWhenUsed="0" w:uiPriority="68" w:semiHidden="0" w:name="Medium Grid 2 Accent 1" w:locked="1"/>
    <w:lsdException w:unhideWhenUsed="0" w:uiPriority="69" w:semiHidden="0" w:name="Medium Grid 3 Accent 1" w:locked="1"/>
    <w:lsdException w:unhideWhenUsed="0" w:uiPriority="70" w:semiHidden="0" w:name="Dark List Accent 1" w:locked="1"/>
    <w:lsdException w:unhideWhenUsed="0" w:uiPriority="71" w:semiHidden="0" w:name="Colorful Shading Accent 1" w:locked="1"/>
    <w:lsdException w:unhideWhenUsed="0" w:uiPriority="72" w:semiHidden="0" w:name="Colorful List Accent 1" w:locked="1"/>
    <w:lsdException w:unhideWhenUsed="0" w:uiPriority="73" w:semiHidden="0" w:name="Colorful Grid Accent 1" w:locked="1"/>
    <w:lsdException w:unhideWhenUsed="0" w:uiPriority="60" w:semiHidden="0" w:name="Light Shading Accent 2" w:locked="1"/>
    <w:lsdException w:unhideWhenUsed="0" w:uiPriority="61" w:semiHidden="0" w:name="Light List Accent 2" w:locked="1"/>
    <w:lsdException w:unhideWhenUsed="0" w:uiPriority="62" w:semiHidden="0" w:name="Light Grid Accent 2" w:locked="1"/>
    <w:lsdException w:unhideWhenUsed="0" w:uiPriority="63" w:semiHidden="0" w:name="Medium Shading 1 Accent 2" w:locked="1"/>
    <w:lsdException w:unhideWhenUsed="0" w:uiPriority="64" w:semiHidden="0" w:name="Medium Shading 2 Accent 2" w:locked="1"/>
    <w:lsdException w:unhideWhenUsed="0" w:uiPriority="65" w:semiHidden="0" w:name="Medium List 1 Accent 2" w:locked="1"/>
    <w:lsdException w:unhideWhenUsed="0" w:uiPriority="66" w:semiHidden="0" w:name="Medium List 2 Accent 2" w:locked="1"/>
    <w:lsdException w:unhideWhenUsed="0" w:uiPriority="67" w:semiHidden="0" w:name="Medium Grid 1 Accent 2" w:locked="1"/>
    <w:lsdException w:unhideWhenUsed="0" w:uiPriority="68" w:semiHidden="0" w:name="Medium Grid 2 Accent 2" w:locked="1"/>
    <w:lsdException w:unhideWhenUsed="0" w:uiPriority="69" w:semiHidden="0" w:name="Medium Grid 3 Accent 2" w:locked="1"/>
    <w:lsdException w:unhideWhenUsed="0" w:uiPriority="70" w:semiHidden="0" w:name="Dark List Accent 2" w:locked="1"/>
    <w:lsdException w:unhideWhenUsed="0" w:uiPriority="71" w:semiHidden="0" w:name="Colorful Shading Accent 2" w:locked="1"/>
    <w:lsdException w:unhideWhenUsed="0" w:uiPriority="72" w:semiHidden="0" w:name="Colorful List Accent 2" w:locked="1"/>
    <w:lsdException w:unhideWhenUsed="0" w:uiPriority="73" w:semiHidden="0" w:name="Colorful Grid Accent 2" w:locked="1"/>
    <w:lsdException w:unhideWhenUsed="0" w:uiPriority="60" w:semiHidden="0" w:name="Light Shading Accent 3" w:locked="1"/>
    <w:lsdException w:unhideWhenUsed="0" w:uiPriority="61" w:semiHidden="0" w:name="Light List Accent 3" w:locked="1"/>
    <w:lsdException w:unhideWhenUsed="0" w:uiPriority="62" w:semiHidden="0" w:name="Light Grid Accent 3" w:locked="1"/>
    <w:lsdException w:unhideWhenUsed="0" w:uiPriority="63" w:semiHidden="0" w:name="Medium Shading 1 Accent 3" w:locked="1"/>
    <w:lsdException w:unhideWhenUsed="0" w:uiPriority="64" w:semiHidden="0" w:name="Medium Shading 2 Accent 3" w:locked="1"/>
    <w:lsdException w:unhideWhenUsed="0" w:uiPriority="65" w:semiHidden="0" w:name="Medium List 1 Accent 3" w:locked="1"/>
    <w:lsdException w:unhideWhenUsed="0" w:uiPriority="66" w:semiHidden="0" w:name="Medium List 2 Accent 3" w:locked="1"/>
    <w:lsdException w:unhideWhenUsed="0" w:uiPriority="67" w:semiHidden="0" w:name="Medium Grid 1 Accent 3" w:locked="1"/>
    <w:lsdException w:unhideWhenUsed="0" w:uiPriority="68" w:semiHidden="0" w:name="Medium Grid 2 Accent 3" w:locked="1"/>
    <w:lsdException w:unhideWhenUsed="0" w:uiPriority="69" w:semiHidden="0" w:name="Medium Grid 3 Accent 3" w:locked="1"/>
    <w:lsdException w:unhideWhenUsed="0" w:uiPriority="70" w:semiHidden="0" w:name="Dark List Accent 3" w:locked="1"/>
    <w:lsdException w:unhideWhenUsed="0" w:uiPriority="71" w:semiHidden="0" w:name="Colorful Shading Accent 3" w:locked="1"/>
    <w:lsdException w:unhideWhenUsed="0" w:uiPriority="72" w:semiHidden="0" w:name="Colorful List Accent 3" w:locked="1"/>
    <w:lsdException w:unhideWhenUsed="0" w:uiPriority="73" w:semiHidden="0" w:name="Colorful Grid Accent 3" w:locked="1"/>
    <w:lsdException w:unhideWhenUsed="0" w:uiPriority="60" w:semiHidden="0" w:name="Light Shading Accent 4" w:locked="1"/>
    <w:lsdException w:unhideWhenUsed="0" w:uiPriority="61" w:semiHidden="0" w:name="Light List Accent 4" w:locked="1"/>
    <w:lsdException w:unhideWhenUsed="0" w:uiPriority="62" w:semiHidden="0" w:name="Light Grid Accent 4" w:locked="1"/>
    <w:lsdException w:unhideWhenUsed="0" w:uiPriority="63" w:semiHidden="0" w:name="Medium Shading 1 Accent 4" w:locked="1"/>
    <w:lsdException w:unhideWhenUsed="0" w:uiPriority="64" w:semiHidden="0" w:name="Medium Shading 2 Accent 4" w:locked="1"/>
    <w:lsdException w:unhideWhenUsed="0" w:uiPriority="65" w:semiHidden="0" w:name="Medium List 1 Accent 4" w:locked="1"/>
    <w:lsdException w:unhideWhenUsed="0" w:uiPriority="66" w:semiHidden="0" w:name="Medium List 2 Accent 4" w:locked="1"/>
    <w:lsdException w:unhideWhenUsed="0" w:uiPriority="67" w:semiHidden="0" w:name="Medium Grid 1 Accent 4" w:locked="1"/>
    <w:lsdException w:unhideWhenUsed="0" w:uiPriority="68" w:semiHidden="0" w:name="Medium Grid 2 Accent 4" w:locked="1"/>
    <w:lsdException w:unhideWhenUsed="0" w:uiPriority="69" w:semiHidden="0" w:name="Medium Grid 3 Accent 4" w:locked="1"/>
    <w:lsdException w:unhideWhenUsed="0" w:uiPriority="70" w:semiHidden="0" w:name="Dark List Accent 4" w:locked="1"/>
    <w:lsdException w:unhideWhenUsed="0" w:uiPriority="71" w:semiHidden="0" w:name="Colorful Shading Accent 4" w:locked="1"/>
    <w:lsdException w:unhideWhenUsed="0" w:uiPriority="72" w:semiHidden="0" w:name="Colorful List Accent 4" w:locked="1"/>
    <w:lsdException w:unhideWhenUsed="0" w:uiPriority="73" w:semiHidden="0" w:name="Colorful Grid Accent 4" w:locked="1"/>
    <w:lsdException w:unhideWhenUsed="0" w:uiPriority="60" w:semiHidden="0" w:name="Light Shading Accent 5" w:locked="1"/>
    <w:lsdException w:unhideWhenUsed="0" w:uiPriority="61" w:semiHidden="0" w:name="Light List Accent 5" w:locked="1"/>
    <w:lsdException w:unhideWhenUsed="0" w:uiPriority="62" w:semiHidden="0" w:name="Light Grid Accent 5" w:locked="1"/>
    <w:lsdException w:unhideWhenUsed="0" w:uiPriority="63" w:semiHidden="0" w:name="Medium Shading 1 Accent 5" w:locked="1"/>
    <w:lsdException w:unhideWhenUsed="0" w:uiPriority="64" w:semiHidden="0" w:name="Medium Shading 2 Accent 5" w:locked="1"/>
    <w:lsdException w:unhideWhenUsed="0" w:uiPriority="65" w:semiHidden="0" w:name="Medium List 1 Accent 5" w:locked="1"/>
    <w:lsdException w:unhideWhenUsed="0" w:uiPriority="66" w:semiHidden="0" w:name="Medium List 2 Accent 5" w:locked="1"/>
    <w:lsdException w:unhideWhenUsed="0" w:uiPriority="67" w:semiHidden="0" w:name="Medium Grid 1 Accent 5" w:locked="1"/>
    <w:lsdException w:unhideWhenUsed="0" w:uiPriority="68" w:semiHidden="0" w:name="Medium Grid 2 Accent 5" w:locked="1"/>
    <w:lsdException w:unhideWhenUsed="0" w:uiPriority="69" w:semiHidden="0" w:name="Medium Grid 3 Accent 5" w:locked="1"/>
    <w:lsdException w:unhideWhenUsed="0" w:uiPriority="70" w:semiHidden="0" w:name="Dark List Accent 5" w:locked="1"/>
    <w:lsdException w:unhideWhenUsed="0" w:uiPriority="71" w:semiHidden="0" w:name="Colorful Shading Accent 5" w:locked="1"/>
    <w:lsdException w:unhideWhenUsed="0" w:uiPriority="72" w:semiHidden="0" w:name="Colorful List Accent 5" w:locked="1"/>
    <w:lsdException w:unhideWhenUsed="0" w:uiPriority="73" w:semiHidden="0" w:name="Colorful Grid Accent 5" w:locked="1"/>
    <w:lsdException w:unhideWhenUsed="0" w:uiPriority="60" w:semiHidden="0" w:name="Light Shading Accent 6" w:locked="1"/>
    <w:lsdException w:unhideWhenUsed="0" w:uiPriority="61" w:semiHidden="0" w:name="Light List Accent 6" w:locked="1"/>
    <w:lsdException w:unhideWhenUsed="0" w:uiPriority="62" w:semiHidden="0" w:name="Light Grid Accent 6" w:locked="1"/>
    <w:lsdException w:unhideWhenUsed="0" w:uiPriority="63" w:semiHidden="0" w:name="Medium Shading 1 Accent 6" w:locked="1"/>
    <w:lsdException w:unhideWhenUsed="0" w:uiPriority="64" w:semiHidden="0" w:name="Medium Shading 2 Accent 6" w:locked="1"/>
    <w:lsdException w:unhideWhenUsed="0" w:uiPriority="65" w:semiHidden="0" w:name="Medium List 1 Accent 6" w:locked="1"/>
    <w:lsdException w:unhideWhenUsed="0" w:uiPriority="66" w:semiHidden="0" w:name="Medium List 2 Accent 6" w:locked="1"/>
    <w:lsdException w:unhideWhenUsed="0" w:uiPriority="67" w:semiHidden="0" w:name="Medium Grid 1 Accent 6" w:locked="1"/>
    <w:lsdException w:unhideWhenUsed="0" w:uiPriority="68" w:semiHidden="0" w:name="Medium Grid 2 Accent 6" w:locked="1"/>
    <w:lsdException w:unhideWhenUsed="0" w:uiPriority="69" w:semiHidden="0" w:name="Medium Grid 3 Accent 6" w:locked="1"/>
    <w:lsdException w:unhideWhenUsed="0" w:uiPriority="70" w:semiHidden="0" w:name="Dark List Accent 6" w:locked="1"/>
    <w:lsdException w:unhideWhenUsed="0" w:uiPriority="71" w:semiHidden="0" w:name="Colorful Shading Accent 6" w:locked="1"/>
    <w:lsdException w:unhideWhenUsed="0" w:uiPriority="72" w:semiHidden="0" w:name="Colorful List Accent 6" w:locked="1"/>
    <w:lsdException w:unhideWhenUsed="0" w:uiPriority="73" w:semiHidden="0" w:name="Colorful Grid Accent 6" w:locked="1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/>
      <w:kern w:val="2"/>
      <w:sz w:val="30"/>
      <w:szCs w:val="22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9"/>
    <w:pPr>
      <w:keepNext/>
      <w:keepLines/>
      <w:ind w:firstLine="0" w:firstLineChars="0"/>
      <w:outlineLvl w:val="0"/>
    </w:pPr>
    <w:rPr>
      <w:rFonts w:ascii="Times New Roman" w:hAnsi="Times New Roman" w:eastAsia="方正黑体_GBK"/>
      <w:bCs/>
      <w:kern w:val="44"/>
      <w:szCs w:val="44"/>
    </w:rPr>
  </w:style>
  <w:style w:type="paragraph" w:styleId="5">
    <w:name w:val="heading 2"/>
    <w:basedOn w:val="1"/>
    <w:next w:val="1"/>
    <w:link w:val="29"/>
    <w:qFormat/>
    <w:uiPriority w:val="9"/>
    <w:pPr>
      <w:keepNext/>
      <w:keepLines/>
      <w:ind w:firstLine="0" w:firstLineChars="0"/>
      <w:outlineLvl w:val="1"/>
    </w:pPr>
    <w:rPr>
      <w:rFonts w:ascii="Times New Roman" w:hAnsi="Times New Roman" w:eastAsia="方正楷体_GBK"/>
      <w:bCs/>
      <w:szCs w:val="32"/>
    </w:rPr>
  </w:style>
  <w:style w:type="paragraph" w:styleId="6">
    <w:name w:val="heading 3"/>
    <w:basedOn w:val="1"/>
    <w:next w:val="1"/>
    <w:link w:val="25"/>
    <w:qFormat/>
    <w:uiPriority w:val="9"/>
    <w:pPr>
      <w:keepNext/>
      <w:keepLines/>
      <w:ind w:firstLine="0" w:firstLineChars="0"/>
      <w:outlineLvl w:val="2"/>
    </w:pPr>
    <w:rPr>
      <w:rFonts w:ascii="Times New Roman" w:hAnsi="Times New Roman" w:eastAsia="方正楷体_GBK"/>
      <w:bCs/>
      <w:szCs w:val="32"/>
    </w:rPr>
  </w:style>
  <w:style w:type="character" w:default="1" w:styleId="19">
    <w:name w:val="Default Paragraph Font"/>
    <w:semiHidden/>
    <w:uiPriority w:val="1"/>
  </w:style>
  <w:style w:type="table" w:default="1" w:styleId="18">
    <w:name w:val="Normal Table"/>
    <w:unhideWhenUsed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locked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locked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7">
    <w:name w:val="Normal Indent"/>
    <w:basedOn w:val="1"/>
    <w:next w:val="1"/>
    <w:qFormat/>
    <w:locked/>
    <w:uiPriority w:val="0"/>
  </w:style>
  <w:style w:type="paragraph" w:styleId="8">
    <w:name w:val="Body Text"/>
    <w:basedOn w:val="1"/>
    <w:next w:val="9"/>
    <w:qFormat/>
    <w:locked/>
    <w:uiPriority w:val="0"/>
    <w:pPr>
      <w:spacing w:after="120"/>
    </w:pPr>
  </w:style>
  <w:style w:type="paragraph" w:styleId="9">
    <w:name w:val="Title"/>
    <w:basedOn w:val="1"/>
    <w:next w:val="1"/>
    <w:qFormat/>
    <w:locked/>
    <w:uiPriority w:val="10"/>
    <w:pPr>
      <w:widowControl/>
      <w:ind w:firstLine="0" w:firstLineChars="0"/>
      <w:jc w:val="center"/>
    </w:pPr>
    <w:rPr>
      <w:rFonts w:eastAsia="方正小标宋简体"/>
      <w:b/>
      <w:bCs/>
      <w:sz w:val="40"/>
    </w:rPr>
  </w:style>
  <w:style w:type="paragraph" w:styleId="10">
    <w:name w:val="toc 5"/>
    <w:next w:val="1"/>
    <w:qFormat/>
    <w:locked/>
    <w:uiPriority w:val="0"/>
    <w:pPr>
      <w:widowControl w:val="0"/>
      <w:overflowPunct w:val="0"/>
      <w:spacing w:line="588" w:lineRule="exact"/>
      <w:ind w:left="1680" w:leftChars="800" w:firstLine="420" w:firstLineChars="200"/>
      <w:jc w:val="both"/>
      <w:textAlignment w:val="center"/>
    </w:pPr>
    <w:rPr>
      <w:rFonts w:ascii="Times New Roman" w:hAnsi="Times New Roman" w:eastAsia="方正仿宋_GBK" w:cs="方正仿宋_GBK"/>
      <w:kern w:val="2"/>
      <w:sz w:val="30"/>
      <w:szCs w:val="30"/>
      <w:lang w:val="en-US" w:eastAsia="zh-CN" w:bidi="ar-SA"/>
    </w:rPr>
  </w:style>
  <w:style w:type="paragraph" w:styleId="11">
    <w:name w:val="toc 3"/>
    <w:basedOn w:val="1"/>
    <w:next w:val="1"/>
    <w:unhideWhenUsed/>
    <w:qFormat/>
    <w:locked/>
    <w:uiPriority w:val="39"/>
  </w:style>
  <w:style w:type="paragraph" w:styleId="12">
    <w:name w:val="footer"/>
    <w:basedOn w:val="1"/>
    <w:next w:val="1"/>
    <w:link w:val="26"/>
    <w:semiHidden/>
    <w:lock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13">
    <w:name w:val="header"/>
    <w:basedOn w:val="1"/>
    <w:link w:val="27"/>
    <w:semiHidden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paragraph" w:styleId="14">
    <w:name w:val="footnote text"/>
    <w:basedOn w:val="1"/>
    <w:unhideWhenUsed/>
    <w:qFormat/>
    <w:locked/>
    <w:uiPriority w:val="99"/>
    <w:pPr>
      <w:snapToGrid w:val="0"/>
      <w:jc w:val="left"/>
    </w:pPr>
    <w:rPr>
      <w:sz w:val="18"/>
    </w:rPr>
  </w:style>
  <w:style w:type="paragraph" w:styleId="15">
    <w:name w:val="toc 2"/>
    <w:basedOn w:val="1"/>
    <w:next w:val="1"/>
    <w:unhideWhenUsed/>
    <w:qFormat/>
    <w:locked/>
    <w:uiPriority w:val="39"/>
    <w:pPr>
      <w:tabs>
        <w:tab w:val="right" w:leader="dot" w:pos="8664"/>
      </w:tabs>
      <w:ind w:firstLine="320" w:firstLineChars="100"/>
    </w:pPr>
    <w:rPr>
      <w:rFonts w:eastAsia="方正楷体_GBK"/>
    </w:rPr>
  </w:style>
  <w:style w:type="paragraph" w:styleId="16">
    <w:name w:val="Normal (Web)"/>
    <w:basedOn w:val="1"/>
    <w:lock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"/>
    <w:basedOn w:val="8"/>
    <w:next w:val="2"/>
    <w:unhideWhenUsed/>
    <w:qFormat/>
    <w:locked/>
    <w:uiPriority w:val="99"/>
    <w:pPr>
      <w:autoSpaceDE/>
      <w:autoSpaceDN/>
      <w:spacing w:after="120"/>
      <w:ind w:left="0" w:firstLine="420" w:firstLineChars="100"/>
      <w:jc w:val="both"/>
    </w:pPr>
    <w:rPr>
      <w:rFonts w:ascii="等线" w:hAnsi="等线" w:eastAsia="等线" w:cs="Times New Roman"/>
      <w:kern w:val="2"/>
      <w:sz w:val="21"/>
      <w:szCs w:val="22"/>
      <w:lang w:val="en-US" w:bidi="ar-SA"/>
    </w:rPr>
  </w:style>
  <w:style w:type="character" w:styleId="20">
    <w:name w:val="Strong"/>
    <w:basedOn w:val="19"/>
    <w:qFormat/>
    <w:locked/>
    <w:uiPriority w:val="0"/>
    <w:rPr>
      <w:b/>
    </w:rPr>
  </w:style>
  <w:style w:type="character" w:styleId="21">
    <w:name w:val="page number"/>
    <w:basedOn w:val="19"/>
    <w:qFormat/>
    <w:locked/>
    <w:uiPriority w:val="0"/>
  </w:style>
  <w:style w:type="character" w:styleId="22">
    <w:name w:val="footnote reference"/>
    <w:basedOn w:val="19"/>
    <w:unhideWhenUsed/>
    <w:qFormat/>
    <w:locked/>
    <w:uiPriority w:val="99"/>
    <w:rPr>
      <w:vertAlign w:val="superscript"/>
    </w:rPr>
  </w:style>
  <w:style w:type="character" w:customStyle="1" w:styleId="23">
    <w:name w:val="标题 1 Char"/>
    <w:aliases w:val="委标题 1 Char"/>
    <w:link w:val="4"/>
    <w:uiPriority w:val="9"/>
    <w:rPr>
      <w:rFonts w:ascii="Times New Roman" w:hAnsi="Times New Roman" w:eastAsia="方正黑体_GBK"/>
      <w:bCs/>
      <w:kern w:val="44"/>
      <w:sz w:val="30"/>
      <w:szCs w:val="44"/>
    </w:rPr>
  </w:style>
  <w:style w:type="character" w:customStyle="1" w:styleId="24">
    <w:name w:val="标题 2 Char1"/>
    <w:link w:val="5"/>
    <w:qFormat/>
    <w:uiPriority w:val="0"/>
    <w:rPr>
      <w:rFonts w:eastAsia="方正楷体_GBK"/>
      <w:szCs w:val="30"/>
    </w:rPr>
  </w:style>
  <w:style w:type="character" w:customStyle="1" w:styleId="25">
    <w:name w:val="标题 3 Char"/>
    <w:aliases w:val="委标题 3 Char"/>
    <w:link w:val="6"/>
    <w:uiPriority w:val="9"/>
    <w:rPr>
      <w:rFonts w:ascii="Times New Roman" w:hAnsi="Times New Roman" w:eastAsia="方正楷体_GBK"/>
      <w:bCs/>
      <w:kern w:val="2"/>
      <w:sz w:val="30"/>
      <w:szCs w:val="32"/>
    </w:rPr>
  </w:style>
  <w:style w:type="character" w:customStyle="1" w:styleId="26">
    <w:name w:val="页脚 Char"/>
    <w:link w:val="12"/>
    <w:semiHidden/>
    <w:uiPriority w:val="99"/>
    <w:rPr>
      <w:rFonts w:eastAsia="方正仿宋_GBK"/>
      <w:sz w:val="18"/>
      <w:szCs w:val="18"/>
    </w:rPr>
  </w:style>
  <w:style w:type="character" w:customStyle="1" w:styleId="27">
    <w:name w:val="页眉 Char"/>
    <w:link w:val="13"/>
    <w:semiHidden/>
    <w:uiPriority w:val="99"/>
    <w:rPr>
      <w:rFonts w:eastAsia="方正仿宋_GBK"/>
      <w:sz w:val="18"/>
      <w:szCs w:val="18"/>
    </w:rPr>
  </w:style>
  <w:style w:type="character" w:customStyle="1" w:styleId="28">
    <w:name w:val="标题 2 Char"/>
    <w:link w:val="5"/>
    <w:qFormat/>
    <w:uiPriority w:val="0"/>
    <w:rPr>
      <w:rFonts w:ascii="Times New Roman" w:hAnsi="Times New Roman" w:eastAsia="方正楷体_GBK"/>
      <w:kern w:val="0"/>
      <w:sz w:val="30"/>
      <w:szCs w:val="20"/>
      <w:lang w:val="en-US" w:eastAsia="zh-CN" w:bidi="ar-SA"/>
    </w:rPr>
  </w:style>
  <w:style w:type="character" w:customStyle="1" w:styleId="29">
    <w:name w:val="标题 2 Char"/>
    <w:aliases w:val="委标题 2 Char"/>
    <w:link w:val="5"/>
    <w:uiPriority w:val="9"/>
    <w:rPr>
      <w:rFonts w:ascii="Times New Roman" w:hAnsi="Times New Roman" w:eastAsia="方正楷体_GBK"/>
      <w:bCs/>
      <w:kern w:val="2"/>
      <w:sz w:val="30"/>
      <w:szCs w:val="32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font01"/>
    <w:basedOn w:val="19"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32">
    <w:name w:val="font4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33">
    <w:name w:val="Body Text First Indent 21"/>
    <w:basedOn w:val="34"/>
    <w:unhideWhenUsed/>
    <w:qFormat/>
    <w:uiPriority w:val="99"/>
    <w:pPr>
      <w:ind w:left="0" w:firstLine="420"/>
    </w:pPr>
    <w:rPr>
      <w:rFonts w:hint="default" w:eastAsia="Times New Roman"/>
      <w:sz w:val="32"/>
    </w:rPr>
  </w:style>
  <w:style w:type="paragraph" w:customStyle="1" w:styleId="34">
    <w:name w:val="Body Text Indent1"/>
    <w:basedOn w:val="1"/>
    <w:unhideWhenUsed/>
    <w:qFormat/>
    <w:uiPriority w:val="99"/>
    <w:pPr>
      <w:ind w:left="420" w:leftChars="200"/>
    </w:pPr>
    <w:rPr>
      <w:rFonts w:hint="eastAsia"/>
      <w:sz w:val="21"/>
    </w:rPr>
  </w:style>
  <w:style w:type="paragraph" w:customStyle="1" w:styleId="35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36">
    <w:name w:val="正文（缩进）"/>
    <w:qFormat/>
    <w:uiPriority w:val="0"/>
    <w:pPr>
      <w:widowControl w:val="0"/>
      <w:spacing w:line="594" w:lineRule="exact"/>
      <w:ind w:firstLine="482"/>
      <w:jc w:val="both"/>
    </w:pPr>
    <w:rPr>
      <w:rFonts w:ascii="仿宋_GB2312" w:hAnsi="Calibri" w:eastAsia="方正仿宋_GBK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4494</Words>
  <Characters>5563</Characters>
  <Lines>0</Lines>
  <Paragraphs>0</Paragraphs>
  <TotalTime>28</TotalTime>
  <ScaleCrop>false</ScaleCrop>
  <LinksUpToDate>false</LinksUpToDate>
  <CharactersWithSpaces>5767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2017-02-11T10:19:00Z</dcterms:created>
  <dc:creator>程建林</dc:creator>
  <cp:lastModifiedBy>Administrator</cp:lastModifiedBy>
  <cp:lastPrinted>2025-05-19T08:25:49Z</cp:lastPrinted>
  <dcterms:modified xsi:type="dcterms:W3CDTF">2025-05-30T07:35:43Z</dcterms:modified>
  <dc:title>附件2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7F195E7980FF4808861A9471F62A8D27_13</vt:lpwstr>
  </property>
  <property fmtid="{D5CDD505-2E9C-101B-9397-08002B2CF9AE}" pid="4" name="KSOTemplateDocerSaveRecord">
    <vt:lpwstr>eyJoZGlkIjoiN2QxMzEwYWFlNGFmZDZjMjYxZTZiNmE4OTA3YzdiNzIifQ==</vt:lpwstr>
  </property>
</Properties>
</file>