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迁西县第五次全国经济普查公报（第一号）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Cs/>
          <w:color w:val="0C0C0C"/>
          <w:kern w:val="0"/>
          <w:sz w:val="44"/>
          <w:szCs w:val="44"/>
          <w:shd w:val="clear" w:color="auto" w:fill="FFFFFF"/>
          <w:lang w:val="en-US" w:eastAsia="zh-CN" w:bidi="ar"/>
        </w:rPr>
        <w:t>——迁西县第五次全国经济普查顺利完成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迁西县第五次全国经济普查领导小组办公室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firstLine="0" w:firstLineChars="0"/>
        <w:jc w:val="center"/>
        <w:textAlignment w:val="auto"/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 xml:space="preserve"> 5</w:t>
      </w:r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30</w:t>
      </w:r>
      <w:bookmarkStart w:id="0" w:name="_GoBack"/>
      <w:bookmarkEnd w:id="0"/>
      <w:r>
        <w:rPr>
          <w:rFonts w:hint="default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方正楷体_GBK" w:hAnsi="方正楷体_GBK" w:eastAsia="方正楷体_GBK" w:cs="方正楷体_GBK"/>
          <w:color w:val="0C0C0C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Autospacing="0" w:line="500" w:lineRule="exact"/>
        <w:ind w:left="0" w:leftChars="0" w:firstLine="0" w:firstLineChars="0"/>
        <w:jc w:val="both"/>
        <w:textAlignment w:val="center"/>
        <w:rPr>
          <w:rFonts w:hint="eastAsia" w:ascii="方正仿宋_GBK" w:hAnsi="方正仿宋_GBK" w:eastAsia="方正仿宋_GBK" w:cs="方正仿宋_GBK"/>
          <w:color w:val="0C0C0C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eastAsia="zh-CN"/>
        </w:rPr>
        <w:t>根据《全国经济普查条例》规定和《国务院关于开展第五次全国经济普查的通知》（国发〔2022〕2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eastAsia="zh-CN"/>
        </w:rPr>
        <w:t>号）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精神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，按照《河北省人民政府关于开展第五次全国经济普查的通知》（冀政字〔2023〕12号）、《唐山市人民政府关于做好唐山市第五次全国经济普查的通知》（唐政字〔2023〕20号）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及《迁西县人民政府关于做好迁西县第五次全国经济普查的通知》（迁政字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〔2023〕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号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要求，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迁西县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组织开展了第五次全国经济普查，普查的标准时点为2023年1</w:t>
      </w:r>
      <w:r>
        <w:rPr>
          <w:rFonts w:hint="eastAsia" w:cs="Times New Roman"/>
          <w:color w:val="0C0C0C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月31日，普查的时期资料为 2023 年度，普查对象是全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区域内从事第二产业和第三产业活动的全部法人单位、产业活动单位和个体经营户。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按照党中央、国务院统一部署，省委、省政府及市委、市政府工作安排，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在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委、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政府的坚强领导下，在各地区、各部门和各级普查机构的共同努力下，经过广大普查人员两年多的艰辛努力以及普查对象的积极配合，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迁西县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eastAsia="zh-CN"/>
        </w:rPr>
        <w:t>第五次全国经济普查全面完成机构组建、方案设计、普查区划分、单位清查、普查登记、事后质量抽查、汇总评估等各项任务，取得重大成果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和显著成效。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  <w:u w:val="none"/>
          <w:lang w:eastAsia="zh-CN"/>
        </w:rPr>
        <w:t>加强组织领导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" w:eastAsia="zh-CN"/>
        </w:rPr>
      </w:pP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迁西县</w:t>
      </w: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" w:eastAsia="zh-CN"/>
        </w:rPr>
        <w:t>各级党委、政府高度重视经济普查工作，把经济普查纳入重要议事日程，加强组织领导、压实普查责任。按照“全国统一领导、部门分工协作、地方分级负责、各方共同参与”的组织实施原则，县政府印发《关于做好第五次全国经济普查的通知》，县、乡</w:t>
      </w:r>
      <w:r>
        <w:rPr>
          <w:rFonts w:hint="eastAsia" w:ascii="Times New Roman" w:hAnsi="Times New Roman" w:cs="Times New Roman"/>
          <w:color w:val="0C0C0C"/>
          <w:sz w:val="32"/>
          <w:szCs w:val="32"/>
          <w:u w:val="none"/>
          <w:lang w:val="en-US" w:eastAsia="zh-CN"/>
        </w:rPr>
        <w:t>两</w:t>
      </w:r>
      <w:r>
        <w:rPr>
          <w:rFonts w:hint="default" w:ascii="Times New Roman" w:hAnsi="Times New Roman" w:cs="Times New Roman"/>
          <w:color w:val="0C0C0C"/>
          <w:sz w:val="32"/>
          <w:szCs w:val="32"/>
          <w:u w:val="none"/>
          <w:lang w:val="en" w:eastAsia="zh-CN"/>
        </w:rPr>
        <w:t>级成立普查机构，村（居）委会组建普查工作小组，及时召开动员部署会议和工作协调会议，加强统筹协调，细化任务举措。各有关部门建立健全协调联动的工作机制，明确职能分工，强化信息共享，提供多方保障，为普查的顺利实施奠定坚实基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  <w:t>二、全面摸清家底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  <w:t>2024年1月1日至4月30日，全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县600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  <w:t>多名普查人员对全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  <w:t>区域内从事第二产业和第三产业的法人单位、产业活动单位和抽取的个体经营户，以及选中的投入产出调查单位逐一完成普查登记，根据普查对象的不同类别，相应采集其基本情况、组织结构、人员工资、财务状况、生产经营、能源生产与消费、固定资产投资、研发活动、信息通信技术应用和数字化转型情况、数字经济活动、投入产出情况等有关数据，摸清了全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  <w:t>第二和第三产业发展规模、布局、效益以及各类单位基本情况，更加准确掌握了国民经济行业间经济联系。普查获得的数据客观反映了全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" w:eastAsia="zh-CN" w:bidi="ar-SA"/>
        </w:rPr>
        <w:t>推动高质量发展、积极服务和融入新发展格局、建设现代化经济体系、深化供给侧结构性改革方面的新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en-US" w:bidi="ar-SA"/>
        </w:rPr>
        <w:t>进展，以及在京津冀协同发展、创新驱动发展、生态文明建设、高水平对外开放、公共服务体系建设等方面的新成果，为加强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en-US" w:bidi="ar-SA"/>
        </w:rPr>
        <w:t>改善宏观经济治理、科学制定中长期发展规划，提供了科学准确的数据支撑。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黑体" w:cs="黑体"/>
          <w:color w:val="0C0C0C"/>
          <w:sz w:val="32"/>
          <w:szCs w:val="32"/>
          <w:u w:val="none"/>
          <w:lang w:eastAsia="zh-CN"/>
        </w:rPr>
        <w:t>三、科学规范实施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center"/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按照“坚持质量标准、坚持统分结合、坚持手段创新、坚持协作共享、坚持依法普查”的基本原则，迁西县各级普查部门坚持科学普查，切实加强普查方案设计，着力提高普查的科学性、规范性。同步开展投入产出调查，建立统一的电子统计台账，促进经济总量数据与结构数据衔接。凝聚普查合力，大力推动部门数据共享应用，有效整合编制、民政、税务、市场监管等部门行政记录，为开展单位清查和普查登记提供了数据基础。深化信息技术应用，多种方式满足普查数据处理工作需求，有效拓展普查数据采集方式，为网上填报、现场采集、自主填报、部门报送等方式提供技术手段，普查工作质效全面提升。按照“统一采集、分级处理、创新驱动、安全高效”原则组织实施数据处理工作，实现普查数据采集、处理、审核、汇总以及开发全流程工作的系统化、集成化，为普查顺利开展提供可靠技术支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黑体"/>
          <w:color w:val="0C0C0C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黑体"/>
          <w:color w:val="0C0C0C"/>
          <w:sz w:val="32"/>
          <w:szCs w:val="32"/>
          <w:u w:val="none"/>
          <w:lang w:eastAsia="zh-CN"/>
        </w:rPr>
        <w:t>确保数据质量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center"/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坚持实事求是，实施全过程数据质量控制，建立健全普查数据质量追溯和问责机制，压紧压实普查数据质量责任，坚决防范在普查工作中弄虚作假。组织各地选优配强普查队伍，开展多层级、系统化业务培训，提高普查人员专业技术水平。建立重点工作提示制度和问题解答制度，防止数据失实。深入开展审核评估和督导检查，对普查数据坚持“即报即审、即错即改”，定期通报数据质量情况，确保审核错误不堆积。广泛开展宣传动员，积极争取普查对象的理解和支持，营造普查良好社会氛围。持续提升各级统计机构和普查工作人员法律意识和依法普查观念，及时纠正普查工作中各类不规范行为，确保普查源头数据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总体来看，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迁西县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第五次全国经济普查方案设计和组织实施科学规范有序，普查全过程公开透明，全面摸清了我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第二产业和第三产业家底，能够真实反映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全县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经济社会发展状况，达到了预期目标。普查结果显示，2023年末，全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县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共有从事第二产业和第三产业活动的法人单位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3969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6</w:t>
      </w:r>
      <w:r>
        <w:rPr>
          <w:rFonts w:hint="eastAsia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951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人；个体经营户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17642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个，从业人员</w:t>
      </w:r>
      <w:r>
        <w:rPr>
          <w:rFonts w:hint="eastAsia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54729</w:t>
      </w:r>
      <w:r>
        <w:rPr>
          <w:rFonts w:hint="default" w:ascii="Times New Roman" w:hAnsi="Times New Roman" w:eastAsia="方正仿宋_GBK" w:cs="Times New Roman"/>
          <w:color w:val="0C0C0C"/>
          <w:kern w:val="0"/>
          <w:sz w:val="32"/>
          <w:szCs w:val="32"/>
          <w:u w:val="none"/>
          <w:lang w:val="en-US" w:eastAsia="zh-CN" w:bidi="ar-SA"/>
        </w:rPr>
        <w:t>人。</w:t>
      </w:r>
    </w:p>
    <w:sectPr>
      <w:footerReference r:id="rId5" w:type="default"/>
      <w:pgSz w:w="11906" w:h="16838"/>
      <w:pgMar w:top="1701" w:right="1616" w:bottom="1701" w:left="16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7998E"/>
    <w:multiLevelType w:val="singleLevel"/>
    <w:tmpl w:val="3AF799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596642"/>
    <w:multiLevelType w:val="singleLevel"/>
    <w:tmpl w:val="575966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4261"/>
    <w:rsid w:val="061419AC"/>
    <w:rsid w:val="061F2E9B"/>
    <w:rsid w:val="07DE1B77"/>
    <w:rsid w:val="0BD448CD"/>
    <w:rsid w:val="0C746C1A"/>
    <w:rsid w:val="0E7A1FED"/>
    <w:rsid w:val="0EDC3D9B"/>
    <w:rsid w:val="0F026D1B"/>
    <w:rsid w:val="0FB41D9A"/>
    <w:rsid w:val="1D2D0C10"/>
    <w:rsid w:val="1E881CE0"/>
    <w:rsid w:val="226755FF"/>
    <w:rsid w:val="22703D10"/>
    <w:rsid w:val="257E35D9"/>
    <w:rsid w:val="25A869D6"/>
    <w:rsid w:val="28924EE2"/>
    <w:rsid w:val="2D57459D"/>
    <w:rsid w:val="2EF7747F"/>
    <w:rsid w:val="31A35B60"/>
    <w:rsid w:val="32C67687"/>
    <w:rsid w:val="37B25A07"/>
    <w:rsid w:val="38F97288"/>
    <w:rsid w:val="3D3C3F0E"/>
    <w:rsid w:val="3D8841AA"/>
    <w:rsid w:val="3E0334CE"/>
    <w:rsid w:val="401A4DB7"/>
    <w:rsid w:val="42C25507"/>
    <w:rsid w:val="47D84A51"/>
    <w:rsid w:val="480744C7"/>
    <w:rsid w:val="4E3F0862"/>
    <w:rsid w:val="4E534B14"/>
    <w:rsid w:val="536202E9"/>
    <w:rsid w:val="5410581C"/>
    <w:rsid w:val="5F4E11E7"/>
    <w:rsid w:val="5FCD750F"/>
    <w:rsid w:val="657038D9"/>
    <w:rsid w:val="72EB459F"/>
    <w:rsid w:val="74315462"/>
    <w:rsid w:val="743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Normal Indent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itle"/>
    <w:basedOn w:val="1"/>
    <w:next w:val="1"/>
    <w:qFormat/>
    <w:uiPriority w:val="10"/>
    <w:pPr>
      <w:widowControl/>
      <w:ind w:firstLine="0" w:firstLineChars="0"/>
      <w:jc w:val="center"/>
    </w:pPr>
    <w:rPr>
      <w:rFonts w:eastAsia="方正小标宋简体"/>
      <w:b/>
      <w:bCs/>
      <w:sz w:val="4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0">
    <w:name w:val="Body Text First Indent"/>
    <w:basedOn w:val="5"/>
    <w:next w:val="2"/>
    <w:unhideWhenUsed/>
    <w:qFormat/>
    <w:uiPriority w:val="99"/>
    <w:pPr>
      <w:autoSpaceDE/>
      <w:autoSpaceDN/>
      <w:spacing w:after="120"/>
      <w:ind w:left="0" w:firstLine="420" w:firstLineChars="100"/>
      <w:jc w:val="both"/>
    </w:pPr>
    <w:rPr>
      <w:rFonts w:ascii="等线" w:hAnsi="等线" w:eastAsia="等线" w:cs="Times New Roman"/>
      <w:kern w:val="2"/>
      <w:sz w:val="21"/>
      <w:szCs w:val="22"/>
      <w:lang w:val="en-US" w:bidi="ar-SA"/>
    </w:rPr>
  </w:style>
  <w:style w:type="character" w:styleId="13">
    <w:name w:val="footnote reference"/>
    <w:basedOn w:val="12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2025-05-06T01:36:00Z</dcterms:created>
  <dc:creator>lenovo</dc:creator>
  <cp:lastModifiedBy>芦苇</cp:lastModifiedBy>
  <dcterms:modified xsi:type="dcterms:W3CDTF">2025-05-30T07:24:45Z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42B478D50EC14309B052EAF01D9745D4</vt:lpwstr>
  </property>
</Properties>
</file>