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B4B4B"/>
          <w:spacing w:val="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4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color w:val="88888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河北省传统医学师承出师考核报名流程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河北省传统医学师承人员医师资格考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包括网上报名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网上预约审核、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个部分。为确保您报名成功，请务必仔细阅读以下报名流程并完成所有步骤。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/>
        <w:jc w:val="center"/>
      </w:pPr>
      <w:r>
        <w:rPr>
          <w:rStyle w:val="8"/>
          <w:rFonts w:hint="eastAsia" w:ascii="华文仿宋" w:hAnsi="华文仿宋" w:eastAsia="华文仿宋" w:cs="华文仿宋"/>
          <w:b/>
          <w:bCs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第一阶段：网上报名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1"/>
          <w:szCs w:val="31"/>
        </w:rPr>
        <w:t>步骤1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1"/>
          <w:szCs w:val="31"/>
        </w:rPr>
        <w:t>考生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pacing w:val="-30"/>
          <w:sz w:val="31"/>
          <w:szCs w:val="31"/>
        </w:rPr>
        <w:t>（</w: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404349"/>
          <w:u w:val="none"/>
        </w:rPr>
        <w:instrText xml:space="preserve"> HYPERLINK "http://www.nmec.org.cn/" </w:instrTex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404349"/>
          <w:spacing w:val="-30"/>
          <w:sz w:val="31"/>
          <w:szCs w:val="31"/>
          <w:u w:val="none"/>
        </w:rPr>
        <w:t>http://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"http://hebks.guoguokao.com/"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4"/>
          <w:szCs w:val="24"/>
        </w:rPr>
        <w:t>hebks.guoguokao.com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Style w:val="9"/>
          <w:rFonts w:hint="eastAsia" w:ascii="仿宋_GB2312" w:hAnsi="仿宋_GB2312" w:eastAsia="仿宋_GB2312" w:cs="仿宋_GB2312"/>
          <w:color w:val="404349"/>
          <w:spacing w:val="-30"/>
          <w:sz w:val="31"/>
          <w:szCs w:val="31"/>
          <w:u w:val="none"/>
        </w:rPr>
        <w:t>/</w:t>
      </w:r>
      <w:r>
        <w:rPr>
          <w:rFonts w:hint="eastAsia" w:ascii="仿宋_GB2312" w:hAnsi="仿宋_GB2312" w:eastAsia="仿宋_GB2312" w:cs="仿宋_GB2312"/>
          <w:color w:val="404349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pacing w:val="-30"/>
          <w:sz w:val="31"/>
          <w:szCs w:val="31"/>
        </w:rPr>
        <w:t>）</w:t>
      </w:r>
      <w:r>
        <w:rPr>
          <w:rFonts w:hint="eastAsia" w:ascii="仿宋_GB2312" w:hAnsi="仿宋_GB2312" w:eastAsia="仿宋_GB2312" w:cs="仿宋_GB2312"/>
          <w:sz w:val="31"/>
          <w:szCs w:val="31"/>
        </w:rPr>
        <w:t>，点击“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1"/>
          <w:szCs w:val="31"/>
        </w:rPr>
        <w:t>”，进行注册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及报名</w:t>
      </w:r>
      <w:r>
        <w:rPr>
          <w:rFonts w:hint="eastAsia" w:ascii="仿宋_GB2312" w:hAnsi="仿宋_GB2312" w:eastAsia="仿宋_GB2312" w:cs="仿宋_GB2312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rPr>
          <w:rFonts w:hint="eastAsia" w:ascii="华文仿宋" w:hAnsi="华文仿宋" w:eastAsia="华文仿宋" w:cs="华文仿宋"/>
          <w:sz w:val="31"/>
          <w:szCs w:val="31"/>
        </w:rPr>
      </w:pPr>
      <w:r>
        <w:drawing>
          <wp:inline distT="0" distB="0" distL="114300" distR="114300">
            <wp:extent cx="4210050" cy="1898650"/>
            <wp:effectExtent l="12700" t="12700" r="19050" b="1905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98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步骤2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报名前请先知悉《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用户隐私政策》《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用户服务协议》。注册用户名可用于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开放的所有考试报名，还用于打印准考证和查询成绩等考试服务。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注册成功后，该用户名不能更改，考生须牢记用户名和密码。报名过程中密码遗失的可通过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短信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方式找回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个人信息应真实、准确、有效，不得自行添加标点符号或空格，否则会导致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失败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请务必认真填写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步骤3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注册的个人账户第一次登录需要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完善“个人信息”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上传个人照片，照片大小应小于100K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步骤4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在“考试报名”中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选择需要报名的考试，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完成报名信息填写并提交。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步骤5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报名成功后，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河北省传统医学师承出师考核申请表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》(如报名成功后有信息修改,须重新提交并重新打印报名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无效)。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网报日期截止前，考生可使用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手机号在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河北省医学考试中心考务平台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”查询、修改报名信息。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第二阶段：网上预约审核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登录个人账号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访问考试报名网站，使用报名时注册的账号（身份证/手机号）和密码登录。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进入“已报考试”页面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登录后，在个人中心找到 ‌“已报考试”点击进入已报名的考试项目列表。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293" w:lineRule="atLeast"/>
        <w:ind w:left="0" w:right="0" w:firstLine="645"/>
        <w:jc w:val="center"/>
        <w:rPr>
          <w:rFonts w:hint="default" w:ascii="华文仿宋" w:hAnsi="华文仿宋" w:eastAsia="华文仿宋" w:cs="华文仿宋"/>
          <w:sz w:val="31"/>
          <w:szCs w:val="31"/>
        </w:rPr>
      </w:pPr>
      <w:r>
        <w:drawing>
          <wp:inline distT="0" distB="0" distL="114300" distR="114300">
            <wp:extent cx="3638550" cy="2419350"/>
            <wp:effectExtent l="12700" t="12700" r="19050" b="1905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19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预约线下审核时间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在已报考试列表中找到对应的考试项目，点击 ‌“线下预约审核”‌。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‌选择时间‌：系统会显示可预约时间段（如日期、上午/下午），选择适合的时间并提交。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步骤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4：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预约成功后，页面会生成预约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单（含预约码、时间、地点等信息），点击 ‌“打印”‌ 保存纸质版。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第三阶段：现场审核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和相关报名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材料进行现场审核。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re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287" w:usb1="00000000" w:usb2="00000000" w:usb3="00000000" w:csb0="4000009F" w:csb1="DFD74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ba1308de-78f2-47b9-b2a4-4111db011840"/>
  </w:docVars>
  <w:rsids>
    <w:rsidRoot w:val="00000000"/>
    <w:rsid w:val="07D64375"/>
    <w:rsid w:val="0D7A0726"/>
    <w:rsid w:val="1108484D"/>
    <w:rsid w:val="16464112"/>
    <w:rsid w:val="175E3830"/>
    <w:rsid w:val="185F6D12"/>
    <w:rsid w:val="1A4F4875"/>
    <w:rsid w:val="1AED4AA9"/>
    <w:rsid w:val="1B1500CE"/>
    <w:rsid w:val="26722DC6"/>
    <w:rsid w:val="2E074789"/>
    <w:rsid w:val="304D122A"/>
    <w:rsid w:val="31B53264"/>
    <w:rsid w:val="3A063790"/>
    <w:rsid w:val="3A9D66C5"/>
    <w:rsid w:val="3C1E56F1"/>
    <w:rsid w:val="3CC957F0"/>
    <w:rsid w:val="3E8D3D29"/>
    <w:rsid w:val="40EB3723"/>
    <w:rsid w:val="42E45EE2"/>
    <w:rsid w:val="47055697"/>
    <w:rsid w:val="47E03E24"/>
    <w:rsid w:val="4B106200"/>
    <w:rsid w:val="4F5C5D6D"/>
    <w:rsid w:val="50C85827"/>
    <w:rsid w:val="566748E6"/>
    <w:rsid w:val="58953BEB"/>
    <w:rsid w:val="6DD8201C"/>
    <w:rsid w:val="74070402"/>
    <w:rsid w:val="7D060046"/>
    <w:rsid w:val="B37B7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896</Characters>
  <Lines>0</Lines>
  <Paragraphs>0</Paragraphs>
  <TotalTime>1</TotalTime>
  <ScaleCrop>false</ScaleCrop>
  <LinksUpToDate>false</LinksUpToDate>
  <CharactersWithSpaces>904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2025-04-18T16:21:00Z</dcterms:created>
  <dc:creator>Administrator</dc:creator>
  <cp:lastModifiedBy>baixin</cp:lastModifiedBy>
  <dcterms:modified xsi:type="dcterms:W3CDTF">2025-05-29T09:16:51Z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KSOTemplateDocerSaveRecord">
    <vt:lpwstr>eyJoZGlkIjoiNWIzZmFjOGEyM2NjZjQ1ZTc4NzVjNTg0OGQ4MGE2MWQiLCJ1c2VySWQiOiI2MzgzNzExNTMifQ==</vt:lpwstr>
  </property>
  <property fmtid="{D5CDD505-2E9C-101B-9397-08002B2CF9AE}" pid="4" name="ICV">
    <vt:lpwstr>1FC3F719DB51D4DA83B53768AB608DEB</vt:lpwstr>
  </property>
</Properties>
</file>