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迁西县</w:t>
      </w:r>
      <w:r>
        <w:rPr>
          <w:rFonts w:hint="eastAsia" w:ascii="方正小标宋简体" w:hAnsi="方正小标宋简体" w:eastAsia="方正小标宋简体" w:cs="方正小标宋简体"/>
          <w:sz w:val="44"/>
          <w:szCs w:val="44"/>
          <w:lang w:eastAsia="zh-CN"/>
        </w:rPr>
        <w:t>上营镇</w:t>
      </w:r>
      <w:r>
        <w:rPr>
          <w:rFonts w:hint="eastAsia" w:ascii="方正小标宋简体" w:hAnsi="方正小标宋简体" w:eastAsia="方正小标宋简体" w:cs="方正小标宋简体"/>
          <w:sz w:val="44"/>
          <w:szCs w:val="44"/>
        </w:rPr>
        <w:t>行政处罚事项清单</w:t>
      </w:r>
    </w:p>
    <w:tbl>
      <w:tblPr>
        <w:tblStyle w:val="4"/>
        <w:tblW w:w="8942" w:type="dxa"/>
        <w:jc w:val="center"/>
        <w:tblLayout w:type="fixed"/>
        <w:tblCellMar>
          <w:top w:w="15" w:type="dxa"/>
          <w:left w:w="15" w:type="dxa"/>
          <w:bottom w:w="15" w:type="dxa"/>
          <w:right w:w="15" w:type="dxa"/>
        </w:tblCellMar>
      </w:tblPr>
      <w:tblGrid>
        <w:gridCol w:w="615"/>
        <w:gridCol w:w="4426"/>
        <w:gridCol w:w="3901"/>
      </w:tblGrid>
      <w:tr>
        <w:tblPrEx>
          <w:tblCellMar>
            <w:top w:w="15" w:type="dxa"/>
            <w:left w:w="15" w:type="dxa"/>
            <w:bottom w:w="15" w:type="dxa"/>
            <w:right w:w="15" w:type="dxa"/>
          </w:tblCellMar>
        </w:tblPrEx>
        <w:trPr>
          <w:trHeight w:val="556"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序号</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事项名称</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设定依据</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宋体" w:cs="宋体"/>
                <w:b/>
                <w:color w:val="000000"/>
                <w:sz w:val="22"/>
                <w:szCs w:val="22"/>
              </w:rPr>
            </w:pPr>
            <w:r>
              <w:rPr>
                <w:rFonts w:hint="eastAsia" w:eastAsia="宋体" w:cs="宋体"/>
                <w:b/>
                <w:color w:val="000000"/>
                <w:kern w:val="0"/>
                <w:sz w:val="22"/>
                <w:szCs w:val="22"/>
              </w:rPr>
              <w:t>一、乡镇和街道现有行政处罚事项（6项）</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对农村居民未经批准或者违反规划的规定建设住宅的处罚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《村庄和集镇规划建设管理条例》（1993年11月1日起施行）第三十七条第二款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对损坏村庄和集镇的房屋公共设施、破坏村容镇貌和环境卫生的处罚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《村庄和集镇规划建设管理条例》（1993年11月1日起施行）第三十九条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对擅自在村庄、集镇规划区内的街道、广场、市场和车站等场所修建临时建筑物、构筑物和其他设施的处罚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《村庄和集镇规划建设管理条例》（1993年11月1日起施行）第四十条</w:t>
            </w:r>
          </w:p>
        </w:tc>
      </w:tr>
      <w:tr>
        <w:tblPrEx>
          <w:tblCellMar>
            <w:top w:w="15" w:type="dxa"/>
            <w:left w:w="15" w:type="dxa"/>
            <w:bottom w:w="15" w:type="dxa"/>
            <w:right w:w="15" w:type="dxa"/>
          </w:tblCellMar>
        </w:tblPrEx>
        <w:trPr>
          <w:trHeight w:val="26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《河北省乡村环境保护和治理条例》（2016年10月1日起施行）第四十四条</w:t>
            </w:r>
          </w:p>
        </w:tc>
      </w:tr>
      <w:tr>
        <w:tblPrEx>
          <w:tblCellMar>
            <w:top w:w="15" w:type="dxa"/>
            <w:left w:w="15" w:type="dxa"/>
            <w:bottom w:w="15" w:type="dxa"/>
            <w:right w:w="15" w:type="dxa"/>
          </w:tblCellMar>
        </w:tblPrEx>
        <w:trPr>
          <w:trHeight w:val="20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对在乡、村庄规划区内未取得乡村建设规划许可证或者未按照乡村建设规划许可证的规定进行建设的处罚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《中华人民共和国城乡规划法》（2019年4月23日修订）第六十五条</w:t>
            </w:r>
            <w:r>
              <w:rPr>
                <w:rFonts w:hint="eastAsia" w:eastAsia="宋体" w:cs="宋体"/>
                <w:color w:val="000000"/>
                <w:kern w:val="0"/>
                <w:sz w:val="22"/>
                <w:szCs w:val="22"/>
              </w:rPr>
              <w:br w:type="textWrapping"/>
            </w:r>
            <w:r>
              <w:rPr>
                <w:rFonts w:hint="eastAsia" w:eastAsia="宋体" w:cs="宋体"/>
                <w:color w:val="000000"/>
                <w:kern w:val="0"/>
                <w:sz w:val="22"/>
                <w:szCs w:val="22"/>
              </w:rPr>
              <w:t>《河北省城乡规划条例》（2016年5月25日修订）第八十二条</w:t>
            </w:r>
            <w:r>
              <w:rPr>
                <w:rFonts w:hint="eastAsia" w:eastAsia="宋体" w:cs="宋体"/>
                <w:color w:val="000000"/>
                <w:kern w:val="0"/>
                <w:sz w:val="22"/>
                <w:szCs w:val="22"/>
              </w:rPr>
              <w:br w:type="textWrapping"/>
            </w:r>
            <w:r>
              <w:rPr>
                <w:rFonts w:hint="eastAsia" w:eastAsia="宋体" w:cs="宋体"/>
                <w:color w:val="000000"/>
                <w:kern w:val="0"/>
                <w:sz w:val="22"/>
                <w:szCs w:val="22"/>
              </w:rPr>
              <w:t>《唐山市城乡规划条例》（2013年10月1日起施行）第七十七条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对适龄儿童、少年的父母或监护人，未按法律规定送子女或被监护人就学接受义务教育的处罚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《教育行政处罚暂行实施办法》（1998年3月6日起实施）第十一条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二、县相关部门向乡镇和街道赋权下放的行政处罚事项（78项）</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对在人口集中地区和其他依法需要特殊保护的区域内，焚烧沥青、油毡、橡胶、塑料、皮革、垃圾以及其他产生有毒有害烟尘和恶臭气体的物质的处罚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《中华人民共和国大气污染防治法》（2018年10月26日修正）第一百一十九条第二款、《河北省大气污染防治条例》（2016年1月13日修正）第八十九条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对在人口集中地区对树木、花草喷洒剧毒、高毒农药，或者露天焚烧秸秆、落叶等产生烟尘污染的物质的处罚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《中华人民共和国大气污染防治法》（2018年10月26日修正）第一百一十九条第一款、《河北省大气污染防治条例》（2016年1月13日修正）第八十七条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对在城市人民政府禁止的时段和区域内燃放烟花爆竹的处罚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《中华人民共和国大气污染防治法》（2018年10月26日修正）第一百一十九条第三款、《河北省大气污染防治条例》（2016年1月13日修正）第八十七条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对未经批准进行临时建设的；未按照批准内容进行临时建设的；临时建筑物、构筑物超过审批期限不自行拆除的处罚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《中华人民共和国城乡规划法》（2019年4月23日修正）第六十六条、《河北省城乡规划条例》（2016年5月25日修正）第八十一条第三款</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对栽培、整修或其他作业遗留的渣土、枝叶等杂物，管理单位或个人不及时清除，责令限期清除逾期未清除的处罚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《河北省城市市容和环境卫生条例》（2017年9月28日修正）第十五条第二款</w:t>
            </w:r>
          </w:p>
        </w:tc>
      </w:tr>
      <w:tr>
        <w:tblPrEx>
          <w:tblCellMar>
            <w:top w:w="15" w:type="dxa"/>
            <w:left w:w="15" w:type="dxa"/>
            <w:bottom w:w="15" w:type="dxa"/>
            <w:right w:w="15" w:type="dxa"/>
          </w:tblCellMar>
        </w:tblPrEx>
        <w:trPr>
          <w:trHeight w:val="16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对在城市建筑物、构筑物、地面和其他设施以及树木上涂写、刻画、喷涂或者粘贴小广告等影响市容的处罚；对在道路及其他公共场所吊挂、晾晒物品，责令改正拒不改正的处罚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《河北省城市市容和环境卫生条例》（2017年9月28日修正）第十七条</w:t>
            </w:r>
          </w:p>
        </w:tc>
      </w:tr>
      <w:tr>
        <w:tblPrEx>
          <w:tblCellMar>
            <w:top w:w="15" w:type="dxa"/>
            <w:left w:w="15" w:type="dxa"/>
            <w:bottom w:w="15" w:type="dxa"/>
            <w:right w:w="15" w:type="dxa"/>
          </w:tblCellMar>
        </w:tblPrEx>
        <w:trPr>
          <w:trHeight w:val="19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《河北省城市市容和环境卫生条例》（2017年9月28日修正）第十八条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对未经市容和环境卫生行政主管部门同意，擅自设置大型户外广告的处罚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《河北省城市市容和环境卫生条例》（2017年9月28日修正）第十九条第二款</w:t>
            </w:r>
          </w:p>
        </w:tc>
      </w:tr>
      <w:tr>
        <w:tblPrEx>
          <w:tblCellMar>
            <w:top w:w="15" w:type="dxa"/>
            <w:left w:w="15" w:type="dxa"/>
            <w:bottom w:w="15" w:type="dxa"/>
            <w:right w:w="15" w:type="dxa"/>
          </w:tblCellMar>
        </w:tblPrEx>
        <w:trPr>
          <w:trHeight w:val="9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对未经批准（或未按规定的期限和地点）张贴、张挂宣传品，责令改正拒不改正的处罚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《河北省城市市容和环境卫生条例》（2017年9月28日修正）第二十条第一款</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对未经批准，擅自在城市道路两侧和公共场地堆放物料，责令改正拒不改正的处罚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《河北省城市市容和环境卫生条例》（2017年9月28日修正）第二十二条第二款</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对擅自在城市道路两侧和公共场地摆设摊点，或者未按批准的时间、地点和范围从事有关经营活动，责令停止经营拒不停止经营的处罚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《河北省城市市容和环境卫生条例》（2017年9月28日修正）第二十四条第三款</w:t>
            </w:r>
          </w:p>
        </w:tc>
      </w:tr>
      <w:tr>
        <w:tblPrEx>
          <w:tblCellMar>
            <w:top w:w="15" w:type="dxa"/>
            <w:left w:w="15" w:type="dxa"/>
            <w:bottom w:w="15" w:type="dxa"/>
            <w:right w:w="15" w:type="dxa"/>
          </w:tblCellMar>
        </w:tblPrEx>
        <w:trPr>
          <w:trHeight w:val="25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对违反施工现场作业规范行为的处罚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对不按照规定清理垃圾、粪便、积雪的处罚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《河北省城市市容和环境卫生条例》（2017年9月28日修正）第三十二条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对从事车辆清洗、维修经营活动，未在室内进行，占用道路、绿地、公共场所等的处罚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对影响环境卫生行为的处罚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对占用、损毁环境卫生设施的；对擅自拆除、迁移、改建、停用环卫设施和改变环卫设施用途的处罚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《河北省城市市容和环境卫生条例》（2017年9月28日修正）第四十一条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对违反规定实施影响城市照明设施正常运行的行为的处罚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《城市照明管理规定》（2010年住建部令第4号）第三十二条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对将建筑垃圾混入生活垃圾的；将危险废物混入建筑垃圾的；擅自设立弃置场接纳建筑垃圾的处罚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对单位和个人随意倾倒、抛撒或者堆放建筑垃圾的处罚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《城市建筑垃圾管理规定》（2005年建设部令第139号）第二十六条</w:t>
            </w:r>
          </w:p>
        </w:tc>
      </w:tr>
      <w:tr>
        <w:tblPrEx>
          <w:tblCellMar>
            <w:top w:w="15" w:type="dxa"/>
            <w:left w:w="15" w:type="dxa"/>
            <w:bottom w:w="15" w:type="dxa"/>
            <w:right w:w="15" w:type="dxa"/>
          </w:tblCellMar>
        </w:tblPrEx>
        <w:trPr>
          <w:trHeight w:val="13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对未经批准擅自关闭、闲置或者拆除生活垃圾处置设施、场所的处罚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《中华人民共和国固体废物污染环境防治法》第七十四条第二项、《城市生活垃圾管理办法》（2015年住房和城乡建设部令第24号）第四十一条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对随意倾倒、抛撒、堆放生活垃圾的处罚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《中华人民共和国固体废物污染环境防治法》第七十四条第一项、《城市生活垃圾管理办法》（2015年住房和城乡建设部令第24号）第四十二条</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对从事城市生活垃圾经营性清扫、收集、运输的企业不履行义务的处罚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《城市生活垃圾管理办法》（2015年住房和城乡建设部令第24号）第四十五条、第四十六条</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树木上设置广告牌、标语牌或者牵拉绳索、架设电线，以树承重；践踏绿地，损伤树木花草，在绿地内堆放杂物、焚烧物品、排放污水；在绿地内倾倒有毒有害物质；擅自釆挖树木；在绿地内挖坑取土（沙）；在绿地内放养牲畜、家禽；盗窃树木花草及擅自</w:t>
            </w:r>
            <w:r>
              <w:rPr>
                <w:rFonts w:hint="eastAsia" w:eastAsia="宋体" w:cs="宋体"/>
                <w:color w:val="000000"/>
                <w:kern w:val="0"/>
                <w:sz w:val="22"/>
                <w:szCs w:val="22"/>
                <w:lang w:eastAsia="zh-CN"/>
              </w:rPr>
              <w:t>采摘</w:t>
            </w:r>
            <w:r>
              <w:rPr>
                <w:rFonts w:hint="eastAsia" w:eastAsia="宋体" w:cs="宋体"/>
                <w:color w:val="000000"/>
                <w:kern w:val="0"/>
                <w:sz w:val="22"/>
                <w:szCs w:val="22"/>
              </w:rPr>
              <w:t>花果枝叶；盗窃、损毁园林设施；在绿地内擅自搭棚建屋、停放车辆，以及硬化和圈占小区绿地的处罚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《河北省城市园林绿化管理办法》（2018年修订）第五十</w:t>
            </w:r>
            <w:r>
              <w:rPr>
                <w:rFonts w:hint="eastAsia" w:eastAsia="宋体" w:cs="宋体"/>
                <w:kern w:val="0"/>
                <w:sz w:val="22"/>
                <w:szCs w:val="22"/>
              </w:rPr>
              <w:t>一</w:t>
            </w:r>
            <w:r>
              <w:rPr>
                <w:rFonts w:hint="eastAsia" w:eastAsia="宋体" w:cs="宋体"/>
                <w:color w:val="000000"/>
                <w:kern w:val="0"/>
                <w:sz w:val="22"/>
                <w:szCs w:val="22"/>
              </w:rPr>
              <w:t>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对擅自砍伐或者移植城市树木的处罚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《河北省绿化条例》（2017年）第六十六条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建设单位未取得施工许可证或者开工报告未经批准擅自施工的处罚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建设单位未组织竣工验收或者验收不合格擅自交付使用的处罚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《建设工程质量管理条例》（2019年国务院令第714号）第五十八条</w:t>
            </w:r>
          </w:p>
        </w:tc>
      </w:tr>
      <w:tr>
        <w:tblPrEx>
          <w:tblCellMar>
            <w:top w:w="15" w:type="dxa"/>
            <w:left w:w="15" w:type="dxa"/>
            <w:bottom w:w="15" w:type="dxa"/>
            <w:right w:w="15"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对城镇排水与污水处理设施覆盖范围内的排水单位和个人，未按照国家有关规定将污水排入城镇排水设施，或在雨水、污水分流地区将污水排入雨水管网的处罚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《城镇排水与污水处理条例》（2013年国务院令第641号）第四十九条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对违反燃气经营者相关规定行为的处罚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《城镇燃气管理条例》（2016年国务院令第666号）第四十六条</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对未取得燃气经营许可证从事燃气经营活动；燃气经营者不按照燃气经营许可证的规定从事燃气经营活动的处罚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对擅自安装、使用卫星地面接收设施和违反广播电视设施保护规定行为的处罚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《广播电视设施保护条例》（2000年国务院令第295号）第二十二条、第二十三条，《卫星电视广播地面接收设施管理规定》（2018年国务院令第703号）第十条第三款</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对擅自从事出版物发行业务和擅自设立从事出版物印刷经营活动的企业或者擅自从事印刷经营活动的处罚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《出版物市场管理规定》（2016年）第三十一条、《印刷业管理条例》（2017年国务院令第676号）第三十六条、《出版管理条例》（2016年国务院令第666号）第六十一条</w:t>
            </w:r>
          </w:p>
        </w:tc>
      </w:tr>
      <w:tr>
        <w:tblPrEx>
          <w:tblCellMar>
            <w:top w:w="15" w:type="dxa"/>
            <w:left w:w="15" w:type="dxa"/>
            <w:bottom w:w="15" w:type="dxa"/>
            <w:right w:w="15" w:type="dxa"/>
          </w:tblCellMar>
        </w:tblPrEx>
        <w:trPr>
          <w:trHeight w:val="12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对擅自从事营业性演出经营活动和非演出场所经营单位擅自举办演出的处罚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《营业性演出管理条例》（2016年国务院令第666号）第四十三条、《营业性演出管理条例实施细则》（2017年文化部修订）第四十六条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对擅自举办募捐义演或者其他公益性演出的处罚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《营业性演出管理条例实施细则》（2017年文化部修订）第四十九条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对擅自从事互联网上网服务经营活动和互联网上网服务营业场所经营单位违反相关规定的处罚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《互联网上网服务营业场所管理条例》（2019年国务院令第710号）第二十七条、第三十一条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对违反文物保护管理规定的处罚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《中华人民共和国文物保护法》（2017年修正）第六十六条、第七十一条</w:t>
            </w:r>
          </w:p>
        </w:tc>
      </w:tr>
      <w:tr>
        <w:tblPrEx>
          <w:tblCellMar>
            <w:top w:w="15" w:type="dxa"/>
            <w:left w:w="15" w:type="dxa"/>
            <w:bottom w:w="15" w:type="dxa"/>
            <w:right w:w="15" w:type="dxa"/>
          </w:tblCellMar>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对擅自从事娱乐场所经营活动和歌舞娱乐场所、游艺娱乐场、娱乐场所违反规定的处罚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《娱乐场所管理办法》（2017年修正）第二十八条、第二十九条、第三十条，《娱乐场所管理条例》（2016年修正）第四十一条、第四十八条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对擅自从事电影放映经营活动的处罚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《中华人民共和国电影产业促进法》（2016年）第四十七条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对非法转让宅基地行为的处罚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《河北省农村宅基地管理办法》（2002年）第二十条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对未取得动物防疫条件合格证，兴办动物饲养场（养殖小区）和隔离场所，动物屠宰加工场所，以及动物和动物产品无害化处理场所的处罚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《中华人民共和国动物防疫法》（2015年修正）第七十七条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对未依法取得种子生产经营许可证或者未按照种子生产经营许可证的规定生产经营种子，或者伪造、变造、买卖、租借种子生产经营许可证的处罚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《中华人民共和国种子法》（2015年修正）第七十七条、《河北省种子管理条例》（2018年）第四十四条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对农药经营者经营劣质农药的处罚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《农药管理条例》（2017年修正）第五十六条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对农村村民未经批准或者采取欺骗手段骗取批准非法占用土地建住宅的处罚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《中华人民共和国土地管理法》（2019年修正）第七十八条、《河北省土地管理条例》（2014年修正第六十六条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对未按规定设置机构或者配备人员、主要负责人和安全管理人员未经考核合格、未按规定培训教育、未按规定制定预案或者演练、特种作业人员未经培训并取得资格上岗作业的处罚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对生产经营单位违规发包、出租的处罚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《中华人民共和国安全生产法》（2014年修改）第一百条</w:t>
            </w:r>
          </w:p>
        </w:tc>
      </w:tr>
      <w:tr>
        <w:tblPrEx>
          <w:tblCellMar>
            <w:top w:w="15" w:type="dxa"/>
            <w:left w:w="15" w:type="dxa"/>
            <w:bottom w:w="15" w:type="dxa"/>
            <w:right w:w="15" w:type="dxa"/>
          </w:tblCellMar>
        </w:tblPrEx>
        <w:trPr>
          <w:trHeight w:val="9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对未签订安全生产管理协议或者未制定专职安全生产管理人员进行安全检</w:t>
            </w:r>
            <w:r>
              <w:rPr>
                <w:rFonts w:hint="eastAsia" w:eastAsia="宋体" w:cs="宋体"/>
                <w:color w:val="000000"/>
                <w:kern w:val="0"/>
                <w:sz w:val="22"/>
                <w:szCs w:val="22"/>
                <w:lang w:eastAsia="zh-CN"/>
              </w:rPr>
              <w:t>查</w:t>
            </w:r>
            <w:r>
              <w:rPr>
                <w:rFonts w:hint="eastAsia" w:eastAsia="宋体" w:cs="宋体"/>
                <w:color w:val="000000"/>
                <w:kern w:val="0"/>
                <w:sz w:val="22"/>
                <w:szCs w:val="22"/>
              </w:rPr>
              <w:t>与协调的处罚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对“二合一”或距离不符合安全要求、生产经营场所和员工宿舍出口不符合要求的处罚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《中华人民共和国安全生产法》（2014年修改）第一百零二条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对订立免除或减轻责任协议的处罚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《中华人民共和国安全生产法》（2014年修改）第一百零三条</w:t>
            </w:r>
          </w:p>
        </w:tc>
      </w:tr>
      <w:tr>
        <w:tblPrEx>
          <w:tblCellMar>
            <w:top w:w="15" w:type="dxa"/>
            <w:left w:w="15" w:type="dxa"/>
            <w:bottom w:w="15" w:type="dxa"/>
            <w:right w:w="15" w:type="dxa"/>
          </w:tblCellMar>
        </w:tblPrEx>
        <w:trPr>
          <w:trHeight w:val="16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对生产经营单位未按照规定进行安全检查、风险因素辨识管控、事故隐患排</w:t>
            </w:r>
            <w:r>
              <w:rPr>
                <w:rFonts w:hint="eastAsia" w:eastAsia="宋体" w:cs="宋体"/>
                <w:color w:val="000000"/>
                <w:kern w:val="0"/>
                <w:sz w:val="22"/>
                <w:szCs w:val="22"/>
                <w:lang w:eastAsia="zh-CN"/>
              </w:rPr>
              <w:t>查</w:t>
            </w:r>
            <w:r>
              <w:rPr>
                <w:rFonts w:hint="eastAsia" w:eastAsia="宋体" w:cs="宋体"/>
                <w:color w:val="000000"/>
                <w:kern w:val="0"/>
                <w:sz w:val="22"/>
                <w:szCs w:val="22"/>
              </w:rPr>
              <w:t>的，或者对发现的事故隐患和问题未制定整改方案计划的；或者未采取措施消除事故隐患的；微小企业未查找或者未消除作业岗位危险因素的处罚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《河北省安全生产条例》（2017年修正）第七十三条、《河北省安全生产风险管控与隐患治理规定》（省政府令［2018］第2号）第二十四条、第二十五条、第二十六条、第二十七条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对生产经营单位未采取措施消除事故隐患的处罚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对生产经营单位违反规定，拒绝、阻碍负有安全生产监督管理职责的部门依法实施监督检查的处罚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对生产经营单位的主要负责人未履行法定的安全生产管理职责的处罚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《中华人民共和国安全生产法》（2014年修改）第九十一条</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对违反安全生产事故隐患排查治理规定行为的处罚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《安全生产事故隐患排</w:t>
            </w:r>
            <w:r>
              <w:rPr>
                <w:rFonts w:hint="eastAsia" w:eastAsia="宋体" w:cs="宋体"/>
                <w:color w:val="000000"/>
                <w:kern w:val="0"/>
                <w:sz w:val="22"/>
                <w:szCs w:val="22"/>
                <w:lang w:eastAsia="zh-CN"/>
              </w:rPr>
              <w:t>查</w:t>
            </w:r>
            <w:r>
              <w:rPr>
                <w:rFonts w:hint="eastAsia" w:eastAsia="宋体" w:cs="宋体"/>
                <w:color w:val="000000"/>
                <w:kern w:val="0"/>
                <w:sz w:val="22"/>
                <w:szCs w:val="22"/>
              </w:rPr>
              <w:t>治理暂行规定》（2007年国家安全生产监督管理总局令第16号）第二十六条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对生产经营单位未履行安全生产管理职责行为的处罚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《中华人民共和国安全生产法》（2014年修改）第九十六条</w:t>
            </w:r>
          </w:p>
        </w:tc>
      </w:tr>
      <w:tr>
        <w:tblPrEx>
          <w:tblCellMar>
            <w:top w:w="15" w:type="dxa"/>
            <w:left w:w="15" w:type="dxa"/>
            <w:bottom w:w="15" w:type="dxa"/>
            <w:right w:w="15" w:type="dxa"/>
          </w:tblCellMar>
        </w:tblPrEx>
        <w:trPr>
          <w:trHeight w:val="9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对烟花爆竹经营单位出租、出借、转让、买卖烟花爆竹经营许可证的处罚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《烟花爆竹经营许可实施办法》（2013年国家安全生产管理总局令第65号）第三十六条、第三十九条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对烟花爆竹零售经营者变更零售点名称、主要负责人或者经营场所，未重新办理零售许可证；或者存放的烟花爆竹数量超过零售许可证载明范围的处罚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对烟花爆竹零售经营者销售非法生产、经营的烟花爆竹的处罚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《烟花爆竹安全管理条例》（2016年修改）第三十八条、《烟花爆竹经营许可实施办法H2013年国家安全生产管理总局令第65号）第三十四条、第三十九条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对未按照要求生产、经营清真食品的处罚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《河北省清真食品管理条例》（1999年）第十七条第（一）（二）（三）（四）（五）（六）（七）（八）项</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对农业经营主体因未妥善采取综合利用措施，对农产品釆收后的秸秆及树叶、荒草予以处理，致使露天焚烧的处罚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《河北省人民</w:t>
            </w:r>
            <w:r>
              <w:rPr>
                <w:rFonts w:hint="eastAsia" w:eastAsia="宋体" w:cs="宋体"/>
                <w:color w:val="000000"/>
                <w:kern w:val="0"/>
                <w:sz w:val="22"/>
                <w:szCs w:val="22"/>
                <w:lang w:val="en-US" w:eastAsia="zh-CN"/>
              </w:rPr>
              <w:t>代</w:t>
            </w:r>
            <w:r>
              <w:rPr>
                <w:rFonts w:hint="eastAsia" w:eastAsia="宋体" w:cs="宋体"/>
                <w:color w:val="000000"/>
                <w:kern w:val="0"/>
                <w:sz w:val="22"/>
                <w:szCs w:val="22"/>
              </w:rPr>
              <w:t>表大会常务委员会关于促进农作物秸秆综合利用和禁止露天焚烧的决定》（2018年7月27日）第二十五条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对未经许可擅自进行涉路施工活动的处罚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对违反规定实施危及或者可能危及公路安全行为的处罚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《中华人民共和国公路法》（2017年修正）第七十六条第（三）（四）（六）项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对损坏、污染公路路面及影响公路畅通，或者将公路作为试车场地的违法行为的处罚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对在公路用地范围内设置公路标志以外的其他标志的处罚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对在公路建筑控制区内违反规定行为的处罚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《公路安全保护条例》（2011年国务院令第593号）第五十六条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对车辆装载物触地拖行、掉落、遗洒或者飘散，造成公路路面损坏、污染的处罚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对未经许可，擅自经营劳务派遣业务以及劳务派遣单位、用工单位违反有关劳务派遣规定的处罚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《中华人民共和国劳动合同法》（2012年修改）第九十二条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对未经许可和登记，擅自从事职业中介活动的；职业中介机构违反法律规定行为的处罚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《中华人民共和国就业促进法》（2015年修正）第六十四条、第六十五条、第六十六条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对用人单位未按规定与劳动者订立书面劳动合同或违反规定条件解除劳动合同的处罚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《河北省劳动和社会保障监察条例》（2010年修正）第二十三条第一款</w:t>
            </w:r>
          </w:p>
        </w:tc>
      </w:tr>
      <w:tr>
        <w:tblPrEx>
          <w:tblCellMar>
            <w:top w:w="15" w:type="dxa"/>
            <w:left w:w="15" w:type="dxa"/>
            <w:bottom w:w="15" w:type="dxa"/>
            <w:right w:w="15" w:type="dxa"/>
          </w:tblCellMar>
        </w:tblPrEx>
        <w:trPr>
          <w:trHeight w:val="14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对用人单位违反规定使用童工；中介机构介绍不满16周岁的未成年人就业：用人单位未按规定保存录用登记材料，或者伪造录用登记材料的处罚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《禁止使用童工规定》（2002年国务院令第364号）第六条、第七条、第八条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对用人单位非法延长劳动者工作时间的处罚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《中华人民共和国劳动法》（2018年修改）第九十条、《劳动保障监察条例》（2004年国务院令第423号）第二十五条</w:t>
            </w:r>
          </w:p>
        </w:tc>
      </w:tr>
      <w:tr>
        <w:tblPrEx>
          <w:tblCellMar>
            <w:top w:w="15" w:type="dxa"/>
            <w:left w:w="15" w:type="dxa"/>
            <w:bottom w:w="15" w:type="dxa"/>
            <w:right w:w="15" w:type="dxa"/>
          </w:tblCellMar>
        </w:tblPrEx>
        <w:trPr>
          <w:trHeight w:val="12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对用人单位无理抗拒、阻扰实施劳动保障监察的处罚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《中华人民共和国劳动法》（2018年修改）第一百零一条、《劳动保障监察条例》（2004年国务院令第423号）第三十条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对再生资源回收经营者未按规定期限备案的处罚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《河北省再生资源回收管理规定》（2012年）第二十条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对未经批准擅自取水；未依照批准的取水许可规定条件取水的处罚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《中华人民共和国水法》（2016年修正）第六十九条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对在堤防安全保护区内进行打井、钻探、爆破、挖筑鱼塘、采石、取土等危害堤防安全的活动；非管理人员操作河道上涵闸闸门或者干扰河道管理单位正常工作的处罚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《中华人民共和国河道管理条例》（2018年国务院令第698号）第四十五条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对违反河道管理行为的处罚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《中华人民共和国河道管理条例》（2018年国务院令第698号）第四十四条、《中华人民共和国防洪法》（2016年修正）第五十五条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对擅自开办医疗机构行医或者非医师行医的处罚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《中华人民共和国执业医师法》（2009年修正）第三十九条</w:t>
            </w:r>
          </w:p>
        </w:tc>
      </w:tr>
      <w:tr>
        <w:tblPrEx>
          <w:tblCellMar>
            <w:top w:w="15" w:type="dxa"/>
            <w:left w:w="15" w:type="dxa"/>
            <w:bottom w:w="15" w:type="dxa"/>
            <w:right w:w="15" w:type="dxa"/>
          </w:tblCellMar>
        </w:tblPrEx>
        <w:trPr>
          <w:trHeight w:val="15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对违反公共场所卫生要求的处罚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《公共场所卫生管理条例》（2019年国务院令</w:t>
            </w:r>
            <w:r>
              <w:rPr>
                <w:rFonts w:hint="eastAsia" w:eastAsia="宋体" w:cs="宋体"/>
                <w:color w:val="000000"/>
                <w:kern w:val="0"/>
                <w:sz w:val="22"/>
                <w:szCs w:val="22"/>
                <w:lang w:eastAsia="zh-CN"/>
              </w:rPr>
              <w:t>第</w:t>
            </w:r>
            <w:r>
              <w:rPr>
                <w:rFonts w:hint="eastAsia" w:eastAsia="宋体" w:cs="宋体"/>
                <w:color w:val="000000"/>
                <w:kern w:val="0"/>
                <w:sz w:val="22"/>
                <w:szCs w:val="22"/>
              </w:rPr>
              <w:t>714号）第十四条，《公共场所卫生管理条例实施细则》（2017年修正）第三十五条、第三十六条、第三十七条、第三十八条、第三十九条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对餐具、饮具集中消毒服务单位违反集中消毒规定的处罚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《中华人民共和国食品安全法》（2018年修正）第一百二十六条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对盗伐、滥伐林木行为的处罚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《中华人民共和国森林法》（2019年修正）第七十六条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三、县相关部门委托乡镇和街道实施的行政处罚事项（9项）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对临时活动地点的活动违反相关规定的处罚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对为违法宗教活动提供条件的处罚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对大型宗教活动过程中发生危害国家安全、公共安全或者严重破坏社会秩序情况的处罚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《宗教事务条例》（2017年国务院令第686号）第六十四条第一款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对擅自举行大型宗教活动的处罚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对非宗教团体、非宗教院校、非宗教活动场所、非指定的临时活动地点组织、举行宗教活动，接受宗教性捐赠的处罚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《宗教事务条例》（2017年国务院令第686号）第六十九条第二款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对在宗教院校以外的学校及其他教育机构传教、举行宗教活动、成立宗教组织、设立宗教活动场所的处罚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《宗教事务条例》（2017年国务院令第686号）第七十条第二款</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《宗教事务条例》（2017年国务院令第686号）第七十三条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对假冒宗教教职人员进行宗教活动或者骗取钱财等违法活动的处罚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《宗教事务条例》（2017年国务院令第686号）第七十四条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对机动车维修经营者使用假冒伪劣配件维修机动车，承修已报废的机动车或者擅自改装机动车的处罚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《中华人民共和国道路运输条例》（2019年国务院令第709号）七十二条、《机动车维修管理规定》（2019年交通运输部令第20号）第五十一条</w:t>
            </w:r>
          </w:p>
        </w:tc>
      </w:tr>
    </w:tbl>
    <w:p>
      <w:pPr>
        <w:spacing w:line="300" w:lineRule="exact"/>
      </w:pPr>
    </w:p>
    <w:p>
      <w:pPr>
        <w:spacing w:line="300" w:lineRule="exact"/>
      </w:pPr>
    </w:p>
    <w:p>
      <w:pPr>
        <w:spacing w:line="300" w:lineRule="exact"/>
      </w:pPr>
    </w:p>
    <w:p>
      <w:pPr>
        <w:spacing w:line="460" w:lineRule="exact"/>
      </w:pPr>
    </w:p>
    <w:p>
      <w:pPr>
        <w:spacing w:afterLines="50" w:line="560" w:lineRule="exact"/>
      </w:pPr>
    </w:p>
    <w:sectPr>
      <w:pgSz w:w="11907" w:h="16840"/>
      <w:pgMar w:top="2098" w:right="1474" w:bottom="1984" w:left="1587" w:header="851" w:footer="1474" w:gutter="0"/>
      <w:pgNumType w:start="2"/>
      <w:cols w:space="0" w:num="1"/>
      <w:docGrid w:type="linesAndChars" w:linePitch="58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2U1ZThlY2Q4NTg4ZTAzMWQ3ZmE0MzEwZDBiMzcifQ=="/>
  </w:docVars>
  <w:rsids>
    <w:rsidRoot w:val="00172A27"/>
    <w:rsid w:val="000123BA"/>
    <w:rsid w:val="00172A27"/>
    <w:rsid w:val="00174873"/>
    <w:rsid w:val="00196FD4"/>
    <w:rsid w:val="002E06CD"/>
    <w:rsid w:val="00346BA1"/>
    <w:rsid w:val="003D3386"/>
    <w:rsid w:val="00407C8A"/>
    <w:rsid w:val="004572CE"/>
    <w:rsid w:val="004F2A17"/>
    <w:rsid w:val="005D75FC"/>
    <w:rsid w:val="005F651C"/>
    <w:rsid w:val="006849F4"/>
    <w:rsid w:val="00691CA8"/>
    <w:rsid w:val="006B7E39"/>
    <w:rsid w:val="00731263"/>
    <w:rsid w:val="008559DC"/>
    <w:rsid w:val="008A7B36"/>
    <w:rsid w:val="00992C5D"/>
    <w:rsid w:val="00A34EE5"/>
    <w:rsid w:val="00AA4292"/>
    <w:rsid w:val="00AB70B3"/>
    <w:rsid w:val="00B4371E"/>
    <w:rsid w:val="00C14FA2"/>
    <w:rsid w:val="00C76195"/>
    <w:rsid w:val="00CA178A"/>
    <w:rsid w:val="00CF20D4"/>
    <w:rsid w:val="0A1D71A1"/>
    <w:rsid w:val="0A6419C1"/>
    <w:rsid w:val="0E171DC9"/>
    <w:rsid w:val="1B803C21"/>
    <w:rsid w:val="26EF39B0"/>
    <w:rsid w:val="2AE56AA8"/>
    <w:rsid w:val="2F9D73BF"/>
    <w:rsid w:val="40A32911"/>
    <w:rsid w:val="4ADD21B1"/>
    <w:rsid w:val="515107C6"/>
    <w:rsid w:val="542F5CB1"/>
    <w:rsid w:val="5A5E5E81"/>
    <w:rsid w:val="5E1C0CE4"/>
    <w:rsid w:val="697C197D"/>
    <w:rsid w:val="754A1761"/>
    <w:rsid w:val="BADEE1FB"/>
    <w:rsid w:val="D7FF1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方正仿宋简体" w:eastAsiaTheme="minorEastAsia"/>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10</Pages>
  <Words>1224</Words>
  <Characters>6978</Characters>
  <Lines>58</Lines>
  <Paragraphs>16</Paragraphs>
  <TotalTime>43</TotalTime>
  <ScaleCrop>false</ScaleCrop>
  <LinksUpToDate>false</LinksUpToDate>
  <CharactersWithSpaces>8186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baixin</cp:lastModifiedBy>
  <cp:lastPrinted>2020-07-22T23:50:00Z</cp:lastPrinted>
  <dcterms:modified xsi:type="dcterms:W3CDTF">2025-05-28T16:24:55Z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0AE48730748A0AF157C83668B12EE85F</vt:lpwstr>
  </property>
</Properties>
</file>