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迁西县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024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年国民经济和社会发展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统计公报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（202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年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年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全县上下在县委、县政府的正确领导下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eastAsia="方正仿宋简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坚持以习近平新时代中国特色社会主义思想为指导，全面贯彻落实党的二十大和二十届二中、三中全会精神，迎难而上，逆境图强，全县经济社会发展呈现企稳回升、稳中向好的良好态势。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一、综合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初步核算，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全县完成地区生产总值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3416099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比上年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增长2.3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。其中，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第一产业增加值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219858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下降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2.7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%；第二产业增加值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2020693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增长1.7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%；第三产业增加值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1175548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万元，增长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4.8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%。三次产业增加值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结构6.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: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59.2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: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34.4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二、农业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全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完成农业总产值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324458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比上年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下降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2.0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%。其中，农业产值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190588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增长2.1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%；林业产值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6906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增长12.8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%；牧业产值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87581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下降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12.4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%；渔业产值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24103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增长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4.7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%；农林牧渔服务业产值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15280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下降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1.1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40" w:leftChars="-19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全年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粮食播种面积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12485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公顷，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比上年增长0.1%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粮食总产量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69988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吨，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下降0.7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%；油料总产量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4930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吨，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增长18.9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%；蔬菜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及食用菌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总产量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87490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吨，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增长0.8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%；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园林水果产量38457吨，增长0.6%；食用坚果产量79051吨，增长2.0%。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年末肉类总产量产量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20123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吨，比上年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下降2.0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%。其中，猪肉产量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14581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吨，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下降0.8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%；牛肉产量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2174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吨，下降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1.4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%；羊肉产量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1794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吨，下降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10.7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%；禽蛋产量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10493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吨，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下降0.2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t>三、工业和建筑业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全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全部工业增加值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1903809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万元，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eastAsia="zh-CN"/>
        </w:rPr>
        <w:t>比上年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增长</w:t>
      </w:r>
      <w:r>
        <w:rPr>
          <w:rFonts w:hint="eastAsia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2.7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</w:rPr>
        <w:t>%，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其中规模以上工业增加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值增长2.7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在规模以上工业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增加值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中，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高新技术产业增加值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增长4.0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%，占规模以上工业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增加值的13.1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年末规模以上工业企业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家，其中年内新建投产企业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在规模以上工业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增加值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中，分门类看，采矿业增加值比上年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下降19.3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%，制造业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增长4.9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%，电力、热力、燃气及水生产和供应业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下降9.2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%。分行业看，黑色金属矿采选业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 xml:space="preserve">下降19.2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%，农副食品加工业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下降4.5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%，化学原料和化学制品制造业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增长25.2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%，非金属矿物制品业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下降7.8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%，黑色金属冶炼和压延加工业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增长6.8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%，电力、热力生产和供应业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下降9.8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年，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铁矿石成品矿产量201万吨，比上年下降15.0%，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生铁产量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602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万吨，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下降5.7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%；粗钢产量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632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万吨，下降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3.6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%；钢材产量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828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万吨，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增长10.8%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，其中H型钢产量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486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万吨，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增长10.9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%，钢带产量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342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万吨，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增长10.5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全年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规模以上工业企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业营业收入完成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5068197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比上年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下降12.5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其中，采矿业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258518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万元，下降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6.6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%；制造业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4779574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下降12.9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电力、热力、燃气及水生产和供应业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30105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增长10.9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%。全年规模以上工业企业利润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亏损19888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其中，采矿业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亏损3572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万元；制造业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亏损24760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万元；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电力、热力、燃气及水生产和供应业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利润8444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万元，增长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18.5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全年建筑业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完成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增加值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140146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万元，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比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上年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下降7.4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%。具有资质等级建筑业企业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29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家，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具有资质等级的总承包和专业承包建筑业企业房屋施工面积28.6万平方米，下降9.0%；房屋竣工面积10.8万平方米，增长8.5%。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四、固定资产投资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全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年固定资产投资（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不含农户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下降21.8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在固定资产投资中，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全年建设项目投资比上年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下降26.0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%，房地产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开发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投资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增长23.0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%，其中住宅投资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增长25.3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%。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分产业看，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第一产业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投资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比上年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下降60.0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；第二产业投资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下降56.6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%；第三产业投资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增长59.2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%。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三次产业投资结构为4.2:34.1:61.7。工业投资下降57.0%，其中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工业技术改造投资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下降88.9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%。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在工业投资中，采矿业投资下降52.9%，制造业投资下降81.6%，电力、热力、燃气及水的供应业增长68.6%。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高新技术产业投资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下降80.0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%，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战略性新兴产业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投资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下降70.1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%，基础设施投资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增长81.9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%，民间投资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下降18.4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%，占固定资产投资比重为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62.1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eastAsia="zh-CN"/>
        </w:rPr>
        <w:t>全年固定资产投资施工项目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97个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，比上年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下降8.5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%，其中本年新开工项目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个，比上年下降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34.0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%。在施工项目中，总投资亿元以上项目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32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个，比上年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下降8.6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%。本年新开工亿元以上项目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个，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下降50.0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%，完成投资额下降</w:t>
      </w:r>
      <w:r>
        <w:rPr>
          <w:rFonts w:hint="eastAsia" w:eastAsia="方正仿宋简体" w:cs="Times New Roman"/>
          <w:kern w:val="0"/>
          <w:sz w:val="32"/>
          <w:szCs w:val="32"/>
          <w:highlight w:val="none"/>
          <w:lang w:val="en-US" w:eastAsia="zh-CN"/>
        </w:rPr>
        <w:t>69.4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eastAsia="黑体" w:cs="Times New Roman"/>
          <w:bCs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交通运输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邮电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年末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全县公路通车总里程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1677.377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公里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其中高速公路通车里程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33.912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公里，国道通车里程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61.242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公里，省道通车里程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119.782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公里，县道通车里程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90.39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公里，乡道通车里程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386.813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公里，农村公路通车里程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1019.15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公里。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全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邮电业务总收入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26728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比上年增长2.5%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。其中，邮政业务收入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 xml:space="preserve">3465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万元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，下降26.4%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；电信业务收入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23263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万元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，增长8.8%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年末全县拥有固定电话用户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2.4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户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移动电话用户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48.2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万户，电视用户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12.5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万户，互联网宽带接入用户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14.5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、国内贸易</w:t>
      </w:r>
      <w:r>
        <w:rPr>
          <w:rFonts w:hint="eastAsia" w:eastAsia="黑体" w:cs="Times New Roman"/>
          <w:bCs/>
          <w:sz w:val="32"/>
          <w:szCs w:val="32"/>
          <w:highlight w:val="none"/>
          <w:lang w:val="en-US" w:eastAsia="zh-CN"/>
        </w:rPr>
        <w:t>和对外经济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-40" w:leftChars="-19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</w:pP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全年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社会消费品零售总额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实现787476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比上年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增长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4.5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全年限额以上单位消费品零售额23636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比上年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增长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12.6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全年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进出口总额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559110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万元，比上年下降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32.9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%。其中，出口额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38185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 xml:space="preserve">增长42.4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%；进口额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520925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万元，下降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35.4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实际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使用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外资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美元，比上年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下降42.3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财政、税收、金融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</w:pP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全年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全部预算收入完成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199599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比上年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下降18.2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其中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公共财政预算收入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156484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万元，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下降0.9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公共预算支出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348324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元，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下降4.1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全年税收收入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115418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万元，比上年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 xml:space="preserve">下降35.6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eastAsia="方正仿宋简体" w:cs="Times New Roman"/>
          <w:sz w:val="32"/>
          <w:szCs w:val="32"/>
          <w:highlight w:val="none"/>
          <w:lang w:val="en-US" w:eastAsia="zh-CN"/>
        </w:rPr>
        <w:t>年末金融系统各项存款余额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5577698</w:t>
      </w:r>
      <w:r>
        <w:rPr>
          <w:rFonts w:hint="default" w:eastAsia="方正仿宋简体" w:cs="Times New Roman"/>
          <w:sz w:val="32"/>
          <w:szCs w:val="32"/>
          <w:highlight w:val="none"/>
          <w:lang w:val="en-US" w:eastAsia="zh-CN"/>
        </w:rPr>
        <w:t>万元，比年初增加41190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eastAsia="方正仿宋简体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eastAsia="方正仿宋简体" w:cs="Times New Roman"/>
          <w:sz w:val="32"/>
          <w:szCs w:val="32"/>
          <w:highlight w:val="none"/>
          <w:lang w:val="en-US" w:eastAsia="zh-CN"/>
        </w:rPr>
        <w:t>各项贷款余额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3791999</w:t>
      </w:r>
      <w:r>
        <w:rPr>
          <w:rFonts w:hint="default" w:eastAsia="方正仿宋简体" w:cs="Times New Roman"/>
          <w:sz w:val="32"/>
          <w:szCs w:val="32"/>
          <w:highlight w:val="none"/>
          <w:lang w:val="en-US" w:eastAsia="zh-CN"/>
        </w:rPr>
        <w:t>万元，比年初增加653022万元。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eastAsia="黑体" w:cs="Times New Roman"/>
          <w:bCs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  <w:t>城镇建设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和环境保护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年末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绿地面积达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725.36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公顷，人均公园绿地面积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16.26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平方米，绿化覆盖率达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44.78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%。城区新增集中供热面积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48.6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万平方米，城区集中供热面积达到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663.2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万平方米，集中供热率达到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97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%。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天然气管线总里程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215.8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公里。污水集中处理率达到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99.9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%，生活垃圾无害化处理率达到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全年空气质量综合指数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3.941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，比上年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下降4.02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%。优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良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天数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296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天，比上年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增加37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天。细颗粒物（PM2.5）年均浓度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微克/立方米，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增长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3.12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%；可吸入颗粒物（PM10）年均浓度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微克/立方米，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下降3.28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eastAsia="黑体" w:cs="Times New Roman"/>
          <w:bCs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科技、教育、文化、广播、卫生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年末拥有高新技术企业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家，其中本年新增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家。拥有市级以上技术创新中心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家，省级院士工作站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家。全年专利授权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228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项，发明专利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97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年末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拥有各级各类学校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213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所，在校生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64380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人，各类学校专职教师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5102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年末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全县拥有文化馆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个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文化站18个，基层文化服务业中心427个，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图书馆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个，总藏书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53.8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万册。拥有广播电台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座，电视台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座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广播人口覆盖率和电视人口覆盖率均达到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95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年末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全县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拥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有各类医疗机构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623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个。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其中，医院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个，乡镇卫生院17个，农村卫生室4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02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个。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卫生技术人员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3305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其中，执业（助理）医师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1364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人，注册护士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1498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人。全年总诊疗人次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175.8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十、人民生活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eastAsia="zh-CN"/>
        </w:rPr>
        <w:t>和社会保障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全县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城镇居民人均可支配收入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53909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元，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比上年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增长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4.5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农村居民人均可支配收入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26712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元，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比上年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增长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5.8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年末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全县企业基本养老保险覆盖人数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5.9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万人，机关事业基本养老保险覆盖人数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1.8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万人，城乡居民基本养老保险覆盖人数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20.3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万人。城乡基本医疗保险覆盖人数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34.4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万人，其中城镇职工参保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5.5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万人，城乡居民参保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28.9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万人。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生育保险覆盖人数3.7万人。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失业保险覆盖人数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4.1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万人。工伤保险覆盖人</w:t>
      </w:r>
      <w:r>
        <w:rPr>
          <w:rFonts w:hint="eastAsia" w:eastAsia="方正仿宋简体" w:cs="Times New Roman"/>
          <w:sz w:val="32"/>
          <w:szCs w:val="32"/>
          <w:highlight w:val="none"/>
          <w:lang w:val="en-US" w:eastAsia="zh-CN"/>
        </w:rPr>
        <w:t>5.7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十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、人 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全县年末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常住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人口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36.21万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其中城镇人口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20.4万人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人。常住人口城镇化率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56.34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% ，比上年提高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0.07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全年出生人口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2144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人，人口出生率为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5.5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‰；全年死亡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人口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2823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人，人口死亡率为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7.24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‰；自然增长人口减少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 xml:space="preserve">  679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人，自然增长率为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-1.74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‰。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1、本公报202</w:t>
      </w:r>
      <w:r>
        <w:rPr>
          <w:rFonts w:hint="eastAsia" w:eastAsia="方正仿宋简体" w:cs="Times New Roman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年数据为快报统计数据。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、公报中地区生产总值、各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产业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增加值绝对量按当年价格计算，增长速度按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不变价格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、规模以上工业企业为年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主营业务收入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2000万元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 xml:space="preserve">以上的工业法人企业。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</w:rPr>
        <w:t>、公报中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lang w:val="en-US" w:eastAsia="zh-CN"/>
        </w:rPr>
        <w:t>部分数据来源于相关部门。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287" w:usb1="00000000" w:usb2="00000000" w:usb3="00000000" w:csb0="4000009F" w:csb1="DFD74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D45AD"/>
    <w:rsid w:val="00884F82"/>
    <w:rsid w:val="00C7566E"/>
    <w:rsid w:val="00FB5A88"/>
    <w:rsid w:val="01062B19"/>
    <w:rsid w:val="014937B8"/>
    <w:rsid w:val="016E3A2F"/>
    <w:rsid w:val="018A34B1"/>
    <w:rsid w:val="01B2427D"/>
    <w:rsid w:val="01CE7D7F"/>
    <w:rsid w:val="01E759F2"/>
    <w:rsid w:val="02216537"/>
    <w:rsid w:val="027E2360"/>
    <w:rsid w:val="02D609C0"/>
    <w:rsid w:val="033518A0"/>
    <w:rsid w:val="03466463"/>
    <w:rsid w:val="035707A3"/>
    <w:rsid w:val="042005AA"/>
    <w:rsid w:val="04204C3E"/>
    <w:rsid w:val="04221BA7"/>
    <w:rsid w:val="042E73CC"/>
    <w:rsid w:val="051C529F"/>
    <w:rsid w:val="055C63F0"/>
    <w:rsid w:val="05A16CC8"/>
    <w:rsid w:val="060C0011"/>
    <w:rsid w:val="06814236"/>
    <w:rsid w:val="06CE51DC"/>
    <w:rsid w:val="06F36247"/>
    <w:rsid w:val="06FA50CB"/>
    <w:rsid w:val="07461D7E"/>
    <w:rsid w:val="07472709"/>
    <w:rsid w:val="07900AB3"/>
    <w:rsid w:val="07975071"/>
    <w:rsid w:val="07C4604E"/>
    <w:rsid w:val="08BB02BD"/>
    <w:rsid w:val="08C8428F"/>
    <w:rsid w:val="095E1CE6"/>
    <w:rsid w:val="0A161BCB"/>
    <w:rsid w:val="0A553F55"/>
    <w:rsid w:val="0A570337"/>
    <w:rsid w:val="0AA47308"/>
    <w:rsid w:val="0ACD0540"/>
    <w:rsid w:val="0B0956AD"/>
    <w:rsid w:val="0B5830B1"/>
    <w:rsid w:val="0B606CC0"/>
    <w:rsid w:val="0B875778"/>
    <w:rsid w:val="0BA84B8E"/>
    <w:rsid w:val="0C1E5564"/>
    <w:rsid w:val="0C2B4DB0"/>
    <w:rsid w:val="0C9C1CCD"/>
    <w:rsid w:val="0D377CF2"/>
    <w:rsid w:val="0D4865F0"/>
    <w:rsid w:val="0D772150"/>
    <w:rsid w:val="0DAF3064"/>
    <w:rsid w:val="0E10664A"/>
    <w:rsid w:val="0E2C3DA9"/>
    <w:rsid w:val="0E2E79A1"/>
    <w:rsid w:val="0F377829"/>
    <w:rsid w:val="0F635362"/>
    <w:rsid w:val="0FDF1900"/>
    <w:rsid w:val="1041305A"/>
    <w:rsid w:val="10AD3964"/>
    <w:rsid w:val="10C80C24"/>
    <w:rsid w:val="10FB5ECA"/>
    <w:rsid w:val="114E464A"/>
    <w:rsid w:val="11853849"/>
    <w:rsid w:val="118C23D8"/>
    <w:rsid w:val="11C931D0"/>
    <w:rsid w:val="12010BA2"/>
    <w:rsid w:val="12220200"/>
    <w:rsid w:val="12D658FD"/>
    <w:rsid w:val="134F7CFB"/>
    <w:rsid w:val="13FC0432"/>
    <w:rsid w:val="1436225D"/>
    <w:rsid w:val="146E2BBB"/>
    <w:rsid w:val="14C55042"/>
    <w:rsid w:val="14EE25F6"/>
    <w:rsid w:val="14FD2A7C"/>
    <w:rsid w:val="154E2DFA"/>
    <w:rsid w:val="155C561A"/>
    <w:rsid w:val="15AC60DE"/>
    <w:rsid w:val="15DC5005"/>
    <w:rsid w:val="182B033F"/>
    <w:rsid w:val="182E2859"/>
    <w:rsid w:val="184820FF"/>
    <w:rsid w:val="18561F5B"/>
    <w:rsid w:val="188867EA"/>
    <w:rsid w:val="18A9269F"/>
    <w:rsid w:val="190F7BDE"/>
    <w:rsid w:val="1950784C"/>
    <w:rsid w:val="19A267EE"/>
    <w:rsid w:val="1AE30C34"/>
    <w:rsid w:val="1B242741"/>
    <w:rsid w:val="1B3A6577"/>
    <w:rsid w:val="1B4759D3"/>
    <w:rsid w:val="1B4B5C73"/>
    <w:rsid w:val="1B7E47E1"/>
    <w:rsid w:val="1BA36D3D"/>
    <w:rsid w:val="1C4B7F8F"/>
    <w:rsid w:val="1C4F7CEB"/>
    <w:rsid w:val="1C985BEA"/>
    <w:rsid w:val="1CCE787A"/>
    <w:rsid w:val="1D6F3ACA"/>
    <w:rsid w:val="1D807B09"/>
    <w:rsid w:val="1E1E254E"/>
    <w:rsid w:val="1E501C73"/>
    <w:rsid w:val="1EB72724"/>
    <w:rsid w:val="1F034673"/>
    <w:rsid w:val="1F7D7DD2"/>
    <w:rsid w:val="1FCF6CA5"/>
    <w:rsid w:val="1FD44878"/>
    <w:rsid w:val="1FE33570"/>
    <w:rsid w:val="1FEE79B8"/>
    <w:rsid w:val="200D7E29"/>
    <w:rsid w:val="201D0D6C"/>
    <w:rsid w:val="20B27C1F"/>
    <w:rsid w:val="20E14482"/>
    <w:rsid w:val="2179634F"/>
    <w:rsid w:val="21A173D9"/>
    <w:rsid w:val="21E863D0"/>
    <w:rsid w:val="22386FCF"/>
    <w:rsid w:val="237E3C76"/>
    <w:rsid w:val="23AA0CF6"/>
    <w:rsid w:val="23C217DF"/>
    <w:rsid w:val="241B4A23"/>
    <w:rsid w:val="24231213"/>
    <w:rsid w:val="24A27909"/>
    <w:rsid w:val="24C660CD"/>
    <w:rsid w:val="25220B7C"/>
    <w:rsid w:val="25351A8C"/>
    <w:rsid w:val="268E3AEE"/>
    <w:rsid w:val="269C5738"/>
    <w:rsid w:val="26A564F3"/>
    <w:rsid w:val="26BE0070"/>
    <w:rsid w:val="275312D0"/>
    <w:rsid w:val="27706831"/>
    <w:rsid w:val="27945C71"/>
    <w:rsid w:val="28C33A6E"/>
    <w:rsid w:val="28DC0B99"/>
    <w:rsid w:val="290C45F4"/>
    <w:rsid w:val="292723E4"/>
    <w:rsid w:val="293A4C45"/>
    <w:rsid w:val="29C21B7A"/>
    <w:rsid w:val="29C84ABD"/>
    <w:rsid w:val="2AA9445C"/>
    <w:rsid w:val="2AC57918"/>
    <w:rsid w:val="2B0F04F3"/>
    <w:rsid w:val="2B903F18"/>
    <w:rsid w:val="2BCB02CF"/>
    <w:rsid w:val="2BE324E7"/>
    <w:rsid w:val="2BFD756C"/>
    <w:rsid w:val="2C307579"/>
    <w:rsid w:val="2D2D5D34"/>
    <w:rsid w:val="2D4A2C4A"/>
    <w:rsid w:val="2DAE77FD"/>
    <w:rsid w:val="2DB45043"/>
    <w:rsid w:val="2DC23A8A"/>
    <w:rsid w:val="2E422C53"/>
    <w:rsid w:val="2EC7054B"/>
    <w:rsid w:val="2F170678"/>
    <w:rsid w:val="2F475870"/>
    <w:rsid w:val="2F4A03FF"/>
    <w:rsid w:val="2FF465D4"/>
    <w:rsid w:val="300079CB"/>
    <w:rsid w:val="309F1D01"/>
    <w:rsid w:val="31034C1B"/>
    <w:rsid w:val="31253BF9"/>
    <w:rsid w:val="316A1B90"/>
    <w:rsid w:val="31AA4522"/>
    <w:rsid w:val="31DD4639"/>
    <w:rsid w:val="32462B65"/>
    <w:rsid w:val="3266174E"/>
    <w:rsid w:val="3379743C"/>
    <w:rsid w:val="3442260C"/>
    <w:rsid w:val="34556113"/>
    <w:rsid w:val="34E27721"/>
    <w:rsid w:val="354E2718"/>
    <w:rsid w:val="35B76F35"/>
    <w:rsid w:val="35E0501B"/>
    <w:rsid w:val="361F652C"/>
    <w:rsid w:val="364D4409"/>
    <w:rsid w:val="366D0AF6"/>
    <w:rsid w:val="36D1669E"/>
    <w:rsid w:val="378D576A"/>
    <w:rsid w:val="37D4345E"/>
    <w:rsid w:val="38310285"/>
    <w:rsid w:val="384C0D61"/>
    <w:rsid w:val="384F7C1C"/>
    <w:rsid w:val="39345350"/>
    <w:rsid w:val="396111F1"/>
    <w:rsid w:val="39650B8B"/>
    <w:rsid w:val="39773F24"/>
    <w:rsid w:val="3A5E4C06"/>
    <w:rsid w:val="3B310299"/>
    <w:rsid w:val="3C3E3D99"/>
    <w:rsid w:val="3C923BD0"/>
    <w:rsid w:val="3D32263A"/>
    <w:rsid w:val="3DDA163B"/>
    <w:rsid w:val="3E5C226E"/>
    <w:rsid w:val="3ECF1C1C"/>
    <w:rsid w:val="3EE5696E"/>
    <w:rsid w:val="3F567B2D"/>
    <w:rsid w:val="401A79D7"/>
    <w:rsid w:val="405B484B"/>
    <w:rsid w:val="408B0B37"/>
    <w:rsid w:val="40BE58DD"/>
    <w:rsid w:val="411460E9"/>
    <w:rsid w:val="413E01A2"/>
    <w:rsid w:val="41680C9D"/>
    <w:rsid w:val="41803AF7"/>
    <w:rsid w:val="420144D4"/>
    <w:rsid w:val="42030047"/>
    <w:rsid w:val="42580986"/>
    <w:rsid w:val="427C1D20"/>
    <w:rsid w:val="429918D3"/>
    <w:rsid w:val="43316763"/>
    <w:rsid w:val="43355846"/>
    <w:rsid w:val="43843F68"/>
    <w:rsid w:val="43AD25AA"/>
    <w:rsid w:val="440E00C1"/>
    <w:rsid w:val="44215329"/>
    <w:rsid w:val="44234C22"/>
    <w:rsid w:val="443E4B18"/>
    <w:rsid w:val="445718F3"/>
    <w:rsid w:val="449520E2"/>
    <w:rsid w:val="44A27B6F"/>
    <w:rsid w:val="44BD463C"/>
    <w:rsid w:val="4531598E"/>
    <w:rsid w:val="459E5F49"/>
    <w:rsid w:val="45A823BC"/>
    <w:rsid w:val="45AF4F18"/>
    <w:rsid w:val="45B95CB7"/>
    <w:rsid w:val="45FE5AED"/>
    <w:rsid w:val="467E2CC2"/>
    <w:rsid w:val="468068B9"/>
    <w:rsid w:val="47A17067"/>
    <w:rsid w:val="47C16F10"/>
    <w:rsid w:val="48317905"/>
    <w:rsid w:val="48EF2F0A"/>
    <w:rsid w:val="493C0C59"/>
    <w:rsid w:val="495528F5"/>
    <w:rsid w:val="49E70CB8"/>
    <w:rsid w:val="4A2B2872"/>
    <w:rsid w:val="4A6D38B6"/>
    <w:rsid w:val="4A78598D"/>
    <w:rsid w:val="4B425DA7"/>
    <w:rsid w:val="4B443296"/>
    <w:rsid w:val="4B9C0E79"/>
    <w:rsid w:val="4BA5623B"/>
    <w:rsid w:val="4BB6057B"/>
    <w:rsid w:val="4C4D55A8"/>
    <w:rsid w:val="4D7F59F9"/>
    <w:rsid w:val="4D943B16"/>
    <w:rsid w:val="4DFC4D65"/>
    <w:rsid w:val="4E046AFB"/>
    <w:rsid w:val="4EE6021B"/>
    <w:rsid w:val="4EF23189"/>
    <w:rsid w:val="4F013997"/>
    <w:rsid w:val="4F4C2782"/>
    <w:rsid w:val="4F664560"/>
    <w:rsid w:val="4FAF3652"/>
    <w:rsid w:val="50B576FA"/>
    <w:rsid w:val="51033D6C"/>
    <w:rsid w:val="514266A4"/>
    <w:rsid w:val="5164422D"/>
    <w:rsid w:val="516914A9"/>
    <w:rsid w:val="51E4632D"/>
    <w:rsid w:val="5243654E"/>
    <w:rsid w:val="52D14A8A"/>
    <w:rsid w:val="52D70844"/>
    <w:rsid w:val="52E826ED"/>
    <w:rsid w:val="53442B09"/>
    <w:rsid w:val="53C330FF"/>
    <w:rsid w:val="53CF009E"/>
    <w:rsid w:val="54145B16"/>
    <w:rsid w:val="547C5799"/>
    <w:rsid w:val="54ED4085"/>
    <w:rsid w:val="5501474B"/>
    <w:rsid w:val="553E4C09"/>
    <w:rsid w:val="55B267A3"/>
    <w:rsid w:val="55DB6D7F"/>
    <w:rsid w:val="56143C07"/>
    <w:rsid w:val="5634146D"/>
    <w:rsid w:val="56342282"/>
    <w:rsid w:val="56575930"/>
    <w:rsid w:val="56673886"/>
    <w:rsid w:val="56C77ACF"/>
    <w:rsid w:val="572A7D65"/>
    <w:rsid w:val="576E2790"/>
    <w:rsid w:val="578B4CE2"/>
    <w:rsid w:val="57D22EB4"/>
    <w:rsid w:val="584636FF"/>
    <w:rsid w:val="5856124F"/>
    <w:rsid w:val="587773BF"/>
    <w:rsid w:val="58B87707"/>
    <w:rsid w:val="5927171F"/>
    <w:rsid w:val="59D164CC"/>
    <w:rsid w:val="59E166B1"/>
    <w:rsid w:val="5AAD66BF"/>
    <w:rsid w:val="5AE420F8"/>
    <w:rsid w:val="5AF54438"/>
    <w:rsid w:val="5B420748"/>
    <w:rsid w:val="5B5334D3"/>
    <w:rsid w:val="5B7E4345"/>
    <w:rsid w:val="5BAC601B"/>
    <w:rsid w:val="5BD04DAB"/>
    <w:rsid w:val="5C73651F"/>
    <w:rsid w:val="5D115D28"/>
    <w:rsid w:val="5D2062B4"/>
    <w:rsid w:val="5D647F59"/>
    <w:rsid w:val="5D857E90"/>
    <w:rsid w:val="5DB04B0A"/>
    <w:rsid w:val="5DF5021A"/>
    <w:rsid w:val="5E085F6D"/>
    <w:rsid w:val="5E7E24F3"/>
    <w:rsid w:val="5F4B10AE"/>
    <w:rsid w:val="5FB33A15"/>
    <w:rsid w:val="5FEB5588"/>
    <w:rsid w:val="603A2E0B"/>
    <w:rsid w:val="60E83B57"/>
    <w:rsid w:val="60E865C2"/>
    <w:rsid w:val="6103205B"/>
    <w:rsid w:val="61226476"/>
    <w:rsid w:val="615E350C"/>
    <w:rsid w:val="616B74DF"/>
    <w:rsid w:val="617D2C1C"/>
    <w:rsid w:val="61DA7202"/>
    <w:rsid w:val="628B424D"/>
    <w:rsid w:val="6339207A"/>
    <w:rsid w:val="634B51F0"/>
    <w:rsid w:val="635079C4"/>
    <w:rsid w:val="636E6F14"/>
    <w:rsid w:val="63A0425A"/>
    <w:rsid w:val="6410138C"/>
    <w:rsid w:val="64BA7F8D"/>
    <w:rsid w:val="64DA4DFD"/>
    <w:rsid w:val="64F16B88"/>
    <w:rsid w:val="64F901BD"/>
    <w:rsid w:val="64FB0F03"/>
    <w:rsid w:val="650A79A5"/>
    <w:rsid w:val="65AD4666"/>
    <w:rsid w:val="66610136"/>
    <w:rsid w:val="66943ECF"/>
    <w:rsid w:val="67220DBB"/>
    <w:rsid w:val="67C85E5D"/>
    <w:rsid w:val="681136F1"/>
    <w:rsid w:val="68AD45AD"/>
    <w:rsid w:val="692F20B3"/>
    <w:rsid w:val="698D62C0"/>
    <w:rsid w:val="69962E01"/>
    <w:rsid w:val="69985A20"/>
    <w:rsid w:val="69B32F4B"/>
    <w:rsid w:val="6B1F7CCC"/>
    <w:rsid w:val="6B7D2B75"/>
    <w:rsid w:val="6BDB2FB8"/>
    <w:rsid w:val="6BEF1E38"/>
    <w:rsid w:val="6C1F0BDB"/>
    <w:rsid w:val="6C250856"/>
    <w:rsid w:val="6C2F10BA"/>
    <w:rsid w:val="6C9D2309"/>
    <w:rsid w:val="6D1E4827"/>
    <w:rsid w:val="6D425027"/>
    <w:rsid w:val="6DF078CD"/>
    <w:rsid w:val="6F01477B"/>
    <w:rsid w:val="6F352175"/>
    <w:rsid w:val="6F4A59C9"/>
    <w:rsid w:val="6F516882"/>
    <w:rsid w:val="6FCA222C"/>
    <w:rsid w:val="70D55578"/>
    <w:rsid w:val="70F060A8"/>
    <w:rsid w:val="71C827F2"/>
    <w:rsid w:val="71D00A9E"/>
    <w:rsid w:val="723F341D"/>
    <w:rsid w:val="727D7959"/>
    <w:rsid w:val="728D0A61"/>
    <w:rsid w:val="733D66C4"/>
    <w:rsid w:val="734051DE"/>
    <w:rsid w:val="736947F1"/>
    <w:rsid w:val="73C06C9F"/>
    <w:rsid w:val="73C34ECC"/>
    <w:rsid w:val="74540E54"/>
    <w:rsid w:val="747A69BE"/>
    <w:rsid w:val="74D056BC"/>
    <w:rsid w:val="75665792"/>
    <w:rsid w:val="75B17EA8"/>
    <w:rsid w:val="760C7A7D"/>
    <w:rsid w:val="76144E1B"/>
    <w:rsid w:val="765A5FC7"/>
    <w:rsid w:val="767B2EFB"/>
    <w:rsid w:val="77EF6980"/>
    <w:rsid w:val="7809325E"/>
    <w:rsid w:val="78834864"/>
    <w:rsid w:val="78F05CD1"/>
    <w:rsid w:val="79000EF3"/>
    <w:rsid w:val="79A032FE"/>
    <w:rsid w:val="79FF3FA4"/>
    <w:rsid w:val="7A2014EE"/>
    <w:rsid w:val="7A205E29"/>
    <w:rsid w:val="7A7726DF"/>
    <w:rsid w:val="7AE77ACA"/>
    <w:rsid w:val="7B266F7E"/>
    <w:rsid w:val="7B4A0436"/>
    <w:rsid w:val="7B943BC3"/>
    <w:rsid w:val="7C0C44F9"/>
    <w:rsid w:val="7C5E4864"/>
    <w:rsid w:val="7C7D7CB4"/>
    <w:rsid w:val="7CFE25B4"/>
    <w:rsid w:val="7D4E451E"/>
    <w:rsid w:val="7D9171CA"/>
    <w:rsid w:val="7DCA16D8"/>
    <w:rsid w:val="7E193AA5"/>
    <w:rsid w:val="7E1C49BD"/>
    <w:rsid w:val="7E8E697B"/>
    <w:rsid w:val="7EA129B8"/>
    <w:rsid w:val="7EFB52BC"/>
    <w:rsid w:val="7F617E42"/>
    <w:rsid w:val="7F6D2097"/>
    <w:rsid w:val="7FA62048"/>
    <w:rsid w:val="DF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"/>
    <w:basedOn w:val="1"/>
    <w:link w:val="5"/>
    <w:qFormat/>
    <w:uiPriority w:val="0"/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1881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2019-04-29T16:43:00Z</dcterms:created>
  <dc:creator>侯侯</dc:creator>
  <cp:lastModifiedBy>baixin</cp:lastModifiedBy>
  <cp:lastPrinted>2025-05-07T16:26:00Z</cp:lastPrinted>
  <dcterms:modified xsi:type="dcterms:W3CDTF">2025-05-15T16:25:16Z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D1830E3950F60B77ECA42568F4E272A0</vt:lpwstr>
  </property>
</Properties>
</file>