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napToGrid w:val="0"/>
        <w:spacing w:line="560" w:lineRule="exact"/>
        <w:ind w:firstLine="420"/>
        <w:jc w:val="center"/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lang w:val="en-US" w:eastAsia="zh-CN"/>
        </w:rPr>
        <w:t>迁西县上营镇人民</w:t>
      </w:r>
      <w:r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</w:rPr>
        <w:t>政府</w:t>
      </w:r>
    </w:p>
    <w:p>
      <w:pPr>
        <w:pStyle w:val="6"/>
        <w:widowControl/>
        <w:snapToGrid w:val="0"/>
        <w:spacing w:line="560" w:lineRule="exact"/>
        <w:ind w:firstLine="420"/>
        <w:jc w:val="center"/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lang w:val="en-US" w:eastAsia="zh-CN"/>
        </w:rPr>
        <w:t>2024年政府</w:t>
      </w:r>
      <w:r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</w:rPr>
        <w:t>信息公开工作年度报告</w:t>
      </w:r>
    </w:p>
    <w:p>
      <w:pPr>
        <w:pStyle w:val="6"/>
        <w:widowControl/>
        <w:snapToGrid w:val="0"/>
        <w:spacing w:line="560" w:lineRule="exact"/>
        <w:ind w:firstLine="420"/>
        <w:jc w:val="center"/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</w:rPr>
      </w:pPr>
    </w:p>
    <w:p>
      <w:pPr>
        <w:pStyle w:val="6"/>
        <w:widowControl/>
        <w:snapToGrid w:val="0"/>
        <w:spacing w:line="560" w:lineRule="exact"/>
        <w:ind w:firstLine="420"/>
        <w:rPr>
          <w:rFonts w:hint="default" w:ascii="Times New Roman" w:hAnsi="Times New Roman" w:eastAsia="黑体"/>
          <w:sz w:val="32"/>
        </w:rPr>
      </w:pPr>
      <w:r>
        <w:rPr>
          <w:rFonts w:ascii="Times New Roman" w:hAnsi="黑体" w:eastAsia="黑体"/>
          <w:color w:val="333333"/>
          <w:sz w:val="32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300" w:afterAutospacing="0" w:line="240" w:lineRule="auto"/>
        <w:ind w:left="0" w:right="0" w:firstLine="70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15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15"/>
          <w:sz w:val="32"/>
          <w:szCs w:val="32"/>
          <w:shd w:val="clear" w:fill="FFFFFF"/>
        </w:rPr>
        <w:t>一年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15"/>
          <w:sz w:val="32"/>
          <w:szCs w:val="32"/>
          <w:shd w:val="clear" w:fill="FFFFFF"/>
          <w:lang w:eastAsia="zh-CN"/>
        </w:rPr>
        <w:t>以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15"/>
          <w:sz w:val="32"/>
          <w:szCs w:val="32"/>
          <w:shd w:val="clear" w:fill="FFFFFF"/>
        </w:rPr>
        <w:t>来，在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15"/>
          <w:sz w:val="32"/>
          <w:szCs w:val="32"/>
          <w:shd w:val="clear" w:fill="FFFFFF"/>
          <w:lang w:eastAsia="zh-CN"/>
        </w:rPr>
        <w:t>县委县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15"/>
          <w:sz w:val="32"/>
          <w:szCs w:val="32"/>
          <w:shd w:val="clear" w:fill="FFFFFF"/>
        </w:rPr>
        <w:t>政府的正确领导下，我镇认真贯彻落实《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15"/>
          <w:sz w:val="32"/>
          <w:szCs w:val="32"/>
          <w:shd w:val="clear" w:fill="FFFFFF"/>
          <w:lang w:eastAsia="zh-CN"/>
        </w:rPr>
        <w:t>中华人民共和国政府信息公开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15"/>
          <w:sz w:val="32"/>
          <w:szCs w:val="32"/>
          <w:shd w:val="clear" w:fill="FFFFFF"/>
        </w:rPr>
        <w:t>条例》和国家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15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15"/>
          <w:sz w:val="32"/>
          <w:szCs w:val="32"/>
          <w:shd w:val="clear" w:fill="FFFFFF"/>
        </w:rPr>
        <w:t>省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15"/>
          <w:sz w:val="32"/>
          <w:szCs w:val="32"/>
          <w:shd w:val="clear" w:fill="FFFFFF"/>
          <w:lang w:eastAsia="zh-CN"/>
        </w:rPr>
        <w:t>、市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15"/>
          <w:sz w:val="32"/>
          <w:szCs w:val="32"/>
          <w:shd w:val="clear" w:fill="FFFFFF"/>
        </w:rPr>
        <w:t>关于政府信息公开有关文件精神，进一步加强政府信息公开工作的组织领导，不断完善政府信息公开配套制度和工作规范，切实丰富政府信息公开的载体和形式，政府信息公开工作成效凸显，有效满足和保障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15"/>
          <w:sz w:val="32"/>
          <w:szCs w:val="32"/>
          <w:shd w:val="clear" w:fill="FFFFFF"/>
          <w:lang w:eastAsia="zh-CN"/>
        </w:rPr>
        <w:t>了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15"/>
          <w:sz w:val="32"/>
          <w:szCs w:val="32"/>
          <w:shd w:val="clear" w:fill="FFFFFF"/>
        </w:rPr>
        <w:t>新形势下公民知情权和监督权。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textAlignment w:val="auto"/>
        <w:rPr>
          <w:rFonts w:hint="default" w:ascii="Times New Roman" w:hAnsi="Times New Roman" w:eastAsia="方正仿宋简体"/>
          <w:sz w:val="32"/>
        </w:rPr>
      </w:pPr>
      <w:r>
        <w:rPr>
          <w:rFonts w:ascii="Times New Roman" w:hAnsi="黑体" w:eastAsia="黑体"/>
          <w:color w:val="333333"/>
          <w:sz w:val="32"/>
        </w:rPr>
        <w:t>二、主动公开政府信息情况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1"/>
        <w:gridCol w:w="2422"/>
        <w:gridCol w:w="2421"/>
        <w:gridCol w:w="24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97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4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信息内容</w:t>
            </w:r>
          </w:p>
        </w:tc>
        <w:tc>
          <w:tcPr>
            <w:tcW w:w="24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本年制发件数</w:t>
            </w:r>
          </w:p>
        </w:tc>
        <w:tc>
          <w:tcPr>
            <w:tcW w:w="24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本年废止件数</w:t>
            </w:r>
          </w:p>
        </w:tc>
        <w:tc>
          <w:tcPr>
            <w:tcW w:w="24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4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规章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4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行政规范性文件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97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4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信息内容</w:t>
            </w:r>
          </w:p>
        </w:tc>
        <w:tc>
          <w:tcPr>
            <w:tcW w:w="727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4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行政许可</w:t>
            </w:r>
          </w:p>
        </w:tc>
        <w:tc>
          <w:tcPr>
            <w:tcW w:w="727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104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97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4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信息内容</w:t>
            </w:r>
          </w:p>
        </w:tc>
        <w:tc>
          <w:tcPr>
            <w:tcW w:w="727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4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行政处罚</w:t>
            </w:r>
          </w:p>
        </w:tc>
        <w:tc>
          <w:tcPr>
            <w:tcW w:w="727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4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行政强制</w:t>
            </w:r>
          </w:p>
        </w:tc>
        <w:tc>
          <w:tcPr>
            <w:tcW w:w="727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97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4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信息内容</w:t>
            </w:r>
          </w:p>
        </w:tc>
        <w:tc>
          <w:tcPr>
            <w:tcW w:w="727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24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行政事业性收费</w:t>
            </w:r>
          </w:p>
        </w:tc>
        <w:tc>
          <w:tcPr>
            <w:tcW w:w="727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</w:tbl>
    <w:p>
      <w:pPr>
        <w:pStyle w:val="6"/>
        <w:widowControl/>
        <w:snapToGrid w:val="0"/>
        <w:spacing w:line="560" w:lineRule="exact"/>
        <w:ind w:firstLine="420"/>
        <w:rPr>
          <w:rFonts w:hint="default" w:ascii="Times New Roman" w:hAnsi="Times New Roman" w:eastAsia="黑体"/>
          <w:sz w:val="32"/>
        </w:rPr>
      </w:pPr>
      <w:r>
        <w:rPr>
          <w:rFonts w:ascii="Times New Roman" w:hAnsi="黑体" w:eastAsia="黑体"/>
          <w:color w:val="333333"/>
          <w:sz w:val="32"/>
        </w:rPr>
        <w:t>三、收到和处理政府信息公开申请情况</w:t>
      </w:r>
    </w:p>
    <w:tbl>
      <w:tblPr>
        <w:tblStyle w:val="4"/>
        <w:tblW w:w="975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020"/>
        <w:gridCol w:w="4065"/>
        <w:gridCol w:w="615"/>
        <w:gridCol w:w="630"/>
        <w:gridCol w:w="540"/>
        <w:gridCol w:w="600"/>
        <w:gridCol w:w="600"/>
        <w:gridCol w:w="525"/>
        <w:gridCol w:w="5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（本列数据的勾稽关系为：第一项加第二项之和，等于第三项加第四项之和）</w:t>
            </w:r>
          </w:p>
        </w:tc>
        <w:tc>
          <w:tcPr>
            <w:tcW w:w="4046" w:type="dxa"/>
            <w:gridSpan w:val="7"/>
            <w:tcBorders>
              <w:top w:val="single" w:color="auto" w:sz="6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自然人</w:t>
            </w:r>
          </w:p>
        </w:tc>
        <w:tc>
          <w:tcPr>
            <w:tcW w:w="2895" w:type="dxa"/>
            <w:gridSpan w:val="5"/>
            <w:tcBorders>
              <w:top w:val="single" w:color="auto" w:sz="6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法人或其他组织</w:t>
            </w:r>
          </w:p>
        </w:tc>
        <w:tc>
          <w:tcPr>
            <w:tcW w:w="536" w:type="dxa"/>
            <w:vMerge w:val="restart"/>
            <w:tcBorders>
              <w:top w:val="single" w:color="auto" w:sz="6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70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630" w:type="dxa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商业</w:t>
            </w:r>
          </w:p>
          <w:p>
            <w:pPr>
              <w:pStyle w:val="6"/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企业</w:t>
            </w:r>
          </w:p>
        </w:tc>
        <w:tc>
          <w:tcPr>
            <w:tcW w:w="540" w:type="dxa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科研</w:t>
            </w:r>
          </w:p>
          <w:p>
            <w:pPr>
              <w:pStyle w:val="6"/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机构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社会公益组织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法律服务机构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其他</w:t>
            </w:r>
          </w:p>
        </w:tc>
        <w:tc>
          <w:tcPr>
            <w:tcW w:w="536" w:type="dxa"/>
            <w:vMerge w:val="continue"/>
            <w:tcBorders>
              <w:top w:val="single" w:color="auto" w:sz="6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570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一、本年新收政府信息公开申请数量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70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二、上年结转政府信息公开申请数量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auto" w:sz="0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三、本年度办理结果</w:t>
            </w:r>
          </w:p>
        </w:tc>
        <w:tc>
          <w:tcPr>
            <w:tcW w:w="5085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（一）予以公开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619" w:type="dxa"/>
            <w:vMerge w:val="continue"/>
            <w:tcBorders>
              <w:top w:val="single" w:color="auto" w:sz="0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5085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（二）部分公开（区分处理的，只计这一情形，不计其他情形）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single" w:color="auto" w:sz="0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1020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（三）不予公开</w:t>
            </w:r>
          </w:p>
        </w:tc>
        <w:tc>
          <w:tcPr>
            <w:tcW w:w="4065" w:type="dxa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hint="default" w:ascii="Times New Roman" w:hAnsi="Times New Roman" w:eastAsia="方正仿宋简体"/>
                <w:color w:val="333333"/>
                <w:sz w:val="32"/>
              </w:rPr>
              <w:t>1.</w:t>
            </w:r>
            <w:r>
              <w:rPr>
                <w:rFonts w:ascii="Times New Roman" w:hAnsi="方正仿宋简体" w:eastAsia="方正仿宋简体"/>
                <w:color w:val="333333"/>
                <w:sz w:val="32"/>
              </w:rPr>
              <w:t>属于国家秘密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single" w:color="auto" w:sz="0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4065" w:type="dxa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hint="default" w:ascii="Times New Roman" w:hAnsi="Times New Roman" w:eastAsia="方正仿宋简体"/>
                <w:color w:val="333333"/>
                <w:sz w:val="32"/>
              </w:rPr>
              <w:t>2.</w:t>
            </w:r>
            <w:r>
              <w:rPr>
                <w:rFonts w:ascii="Times New Roman" w:hAnsi="方正仿宋简体" w:eastAsia="方正仿宋简体"/>
                <w:color w:val="333333"/>
                <w:sz w:val="32"/>
              </w:rPr>
              <w:t>其他法律行政法规禁止公开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single" w:color="auto" w:sz="0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4065" w:type="dxa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hint="default" w:ascii="Times New Roman" w:hAnsi="Times New Roman" w:eastAsia="方正仿宋简体"/>
                <w:color w:val="333333"/>
                <w:sz w:val="32"/>
              </w:rPr>
              <w:t>3.</w:t>
            </w:r>
            <w:r>
              <w:rPr>
                <w:rFonts w:ascii="Times New Roman" w:hAnsi="方正仿宋简体" w:eastAsia="方正仿宋简体"/>
                <w:color w:val="333333"/>
                <w:sz w:val="32"/>
              </w:rPr>
              <w:t>危及</w:t>
            </w:r>
            <w:r>
              <w:rPr>
                <w:rFonts w:hint="default" w:ascii="Times New Roman" w:hAnsi="Times New Roman" w:eastAsia="方正仿宋简体"/>
                <w:color w:val="333333"/>
                <w:sz w:val="32"/>
              </w:rPr>
              <w:t>“</w:t>
            </w:r>
            <w:r>
              <w:rPr>
                <w:rFonts w:ascii="Times New Roman" w:hAnsi="方正仿宋简体" w:eastAsia="方正仿宋简体"/>
                <w:color w:val="333333"/>
                <w:sz w:val="32"/>
              </w:rPr>
              <w:t>三安全一稳定</w:t>
            </w:r>
            <w:r>
              <w:rPr>
                <w:rFonts w:hint="default" w:ascii="Times New Roman" w:hAnsi="Times New Roman" w:eastAsia="方正仿宋简体"/>
                <w:color w:val="333333"/>
                <w:sz w:val="32"/>
              </w:rPr>
              <w:t>”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single" w:color="auto" w:sz="0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4065" w:type="dxa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hint="default" w:ascii="Times New Roman" w:hAnsi="Times New Roman" w:eastAsia="方正仿宋简体"/>
                <w:color w:val="333333"/>
                <w:sz w:val="32"/>
              </w:rPr>
              <w:t>4.</w:t>
            </w:r>
            <w:r>
              <w:rPr>
                <w:rFonts w:ascii="Times New Roman" w:hAnsi="方正仿宋简体" w:eastAsia="方正仿宋简体"/>
                <w:color w:val="333333"/>
                <w:sz w:val="32"/>
              </w:rPr>
              <w:t>保护第三方合法权益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single" w:color="auto" w:sz="0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4065" w:type="dxa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hint="default" w:ascii="Times New Roman" w:hAnsi="Times New Roman" w:eastAsia="方正仿宋简体"/>
                <w:color w:val="333333"/>
                <w:sz w:val="32"/>
              </w:rPr>
              <w:t>5.</w:t>
            </w:r>
            <w:r>
              <w:rPr>
                <w:rFonts w:ascii="Times New Roman" w:hAnsi="方正仿宋简体" w:eastAsia="方正仿宋简体"/>
                <w:color w:val="333333"/>
                <w:sz w:val="32"/>
              </w:rPr>
              <w:t>属于三类内部事务信息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single" w:color="auto" w:sz="0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4065" w:type="dxa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hint="default" w:ascii="Times New Roman" w:hAnsi="Times New Roman" w:eastAsia="方正仿宋简体"/>
                <w:color w:val="333333"/>
                <w:sz w:val="32"/>
              </w:rPr>
              <w:t>6.</w:t>
            </w:r>
            <w:r>
              <w:rPr>
                <w:rFonts w:ascii="Times New Roman" w:hAnsi="方正仿宋简体" w:eastAsia="方正仿宋简体"/>
                <w:color w:val="333333"/>
                <w:sz w:val="32"/>
              </w:rPr>
              <w:t>属于四类过程性信息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single" w:color="auto" w:sz="0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4065" w:type="dxa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hint="default" w:ascii="Times New Roman" w:hAnsi="Times New Roman" w:eastAsia="方正仿宋简体"/>
                <w:color w:val="333333"/>
                <w:sz w:val="32"/>
              </w:rPr>
              <w:t>7.</w:t>
            </w:r>
            <w:r>
              <w:rPr>
                <w:rFonts w:ascii="Times New Roman" w:hAnsi="方正仿宋简体" w:eastAsia="方正仿宋简体"/>
                <w:color w:val="333333"/>
                <w:sz w:val="32"/>
              </w:rPr>
              <w:t>属于行政执法案卷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single" w:color="auto" w:sz="0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4065" w:type="dxa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hint="default" w:ascii="Times New Roman" w:hAnsi="Times New Roman" w:eastAsia="方正仿宋简体"/>
                <w:color w:val="333333"/>
                <w:sz w:val="32"/>
              </w:rPr>
              <w:t>8.</w:t>
            </w:r>
            <w:r>
              <w:rPr>
                <w:rFonts w:ascii="Times New Roman" w:hAnsi="方正仿宋简体" w:eastAsia="方正仿宋简体"/>
                <w:color w:val="333333"/>
                <w:sz w:val="32"/>
              </w:rPr>
              <w:t>属于行政查询事项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single" w:color="auto" w:sz="0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1020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（四）无法提供</w:t>
            </w:r>
          </w:p>
        </w:tc>
        <w:tc>
          <w:tcPr>
            <w:tcW w:w="4065" w:type="dxa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hint="default" w:ascii="Times New Roman" w:hAnsi="Times New Roman" w:eastAsia="方正仿宋简体"/>
                <w:color w:val="333333"/>
                <w:sz w:val="32"/>
              </w:rPr>
              <w:t>1.</w:t>
            </w:r>
            <w:r>
              <w:rPr>
                <w:rFonts w:ascii="Times New Roman" w:hAnsi="方正仿宋简体" w:eastAsia="方正仿宋简体"/>
                <w:color w:val="333333"/>
                <w:sz w:val="32"/>
              </w:rPr>
              <w:t>本机关不掌握相关政府信息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single" w:color="auto" w:sz="0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4065" w:type="dxa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hint="default" w:ascii="Times New Roman" w:hAnsi="Times New Roman" w:eastAsia="方正仿宋简体"/>
                <w:color w:val="333333"/>
                <w:sz w:val="32"/>
              </w:rPr>
              <w:t>2.</w:t>
            </w:r>
            <w:r>
              <w:rPr>
                <w:rFonts w:ascii="Times New Roman" w:hAnsi="方正仿宋简体" w:eastAsia="方正仿宋简体"/>
                <w:color w:val="333333"/>
                <w:sz w:val="32"/>
              </w:rPr>
              <w:t>没有现成信息需要另行制作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single" w:color="auto" w:sz="0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4065" w:type="dxa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hint="default" w:ascii="Times New Roman" w:hAnsi="Times New Roman" w:eastAsia="方正仿宋简体"/>
                <w:color w:val="333333"/>
                <w:sz w:val="32"/>
              </w:rPr>
              <w:t>3.</w:t>
            </w:r>
            <w:r>
              <w:rPr>
                <w:rFonts w:ascii="Times New Roman" w:hAnsi="方正仿宋简体" w:eastAsia="方正仿宋简体"/>
                <w:color w:val="333333"/>
                <w:sz w:val="32"/>
              </w:rPr>
              <w:t>补正后申请内容仍不明确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single" w:color="auto" w:sz="0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1020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（五）不予处理</w:t>
            </w:r>
          </w:p>
        </w:tc>
        <w:tc>
          <w:tcPr>
            <w:tcW w:w="4065" w:type="dxa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hint="default" w:ascii="Times New Roman" w:hAnsi="Times New Roman" w:eastAsia="方正仿宋简体"/>
                <w:color w:val="333333"/>
                <w:sz w:val="32"/>
              </w:rPr>
              <w:t>1.</w:t>
            </w:r>
            <w:r>
              <w:rPr>
                <w:rFonts w:ascii="Times New Roman" w:hAnsi="方正仿宋简体" w:eastAsia="方正仿宋简体"/>
                <w:color w:val="333333"/>
                <w:sz w:val="32"/>
              </w:rPr>
              <w:t>信访举报投诉类申请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single" w:color="auto" w:sz="0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4065" w:type="dxa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hint="default" w:ascii="Times New Roman" w:hAnsi="Times New Roman" w:eastAsia="方正仿宋简体"/>
                <w:color w:val="333333"/>
                <w:sz w:val="32"/>
              </w:rPr>
              <w:t>2.</w:t>
            </w:r>
            <w:r>
              <w:rPr>
                <w:rFonts w:ascii="Times New Roman" w:hAnsi="方正仿宋简体" w:eastAsia="方正仿宋简体"/>
                <w:color w:val="333333"/>
                <w:sz w:val="32"/>
              </w:rPr>
              <w:t>重复申请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single" w:color="auto" w:sz="0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4065" w:type="dxa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hint="default" w:ascii="Times New Roman" w:hAnsi="Times New Roman" w:eastAsia="方正仿宋简体"/>
                <w:color w:val="333333"/>
                <w:sz w:val="32"/>
              </w:rPr>
              <w:t>3.</w:t>
            </w:r>
            <w:r>
              <w:rPr>
                <w:rFonts w:ascii="Times New Roman" w:hAnsi="方正仿宋简体" w:eastAsia="方正仿宋简体"/>
                <w:color w:val="333333"/>
                <w:sz w:val="32"/>
              </w:rPr>
              <w:t>要求提供公开出版物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single" w:color="auto" w:sz="0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4065" w:type="dxa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hint="default" w:ascii="Times New Roman" w:hAnsi="Times New Roman" w:eastAsia="方正仿宋简体"/>
                <w:color w:val="333333"/>
                <w:sz w:val="32"/>
              </w:rPr>
              <w:t>4.</w:t>
            </w:r>
            <w:r>
              <w:rPr>
                <w:rFonts w:ascii="Times New Roman" w:hAnsi="方正仿宋简体" w:eastAsia="方正仿宋简体"/>
                <w:color w:val="333333"/>
                <w:sz w:val="32"/>
              </w:rPr>
              <w:t>无正当理由大量反复申请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19" w:type="dxa"/>
            <w:vMerge w:val="continue"/>
            <w:tcBorders>
              <w:top w:val="single" w:color="auto" w:sz="0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4065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hint="default" w:ascii="Times New Roman" w:hAnsi="Times New Roman" w:eastAsia="方正仿宋简体"/>
                <w:color w:val="333333"/>
                <w:sz w:val="32"/>
              </w:rPr>
              <w:t>5.</w:t>
            </w:r>
            <w:r>
              <w:rPr>
                <w:rFonts w:ascii="Times New Roman" w:hAnsi="方正仿宋简体" w:eastAsia="方正仿宋简体"/>
                <w:color w:val="333333"/>
                <w:sz w:val="32"/>
              </w:rPr>
              <w:t>要求行政机关确认或重新出具已获取信息</w:t>
            </w:r>
          </w:p>
        </w:tc>
        <w:tc>
          <w:tcPr>
            <w:tcW w:w="615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0" w:hRule="atLeast"/>
          <w:jc w:val="center"/>
        </w:trPr>
        <w:tc>
          <w:tcPr>
            <w:tcW w:w="619" w:type="dxa"/>
            <w:vMerge w:val="continue"/>
            <w:tcBorders>
              <w:top w:val="single" w:color="auto" w:sz="0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1020" w:type="dxa"/>
            <w:vMerge w:val="restart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（六）其他处理</w:t>
            </w:r>
          </w:p>
        </w:tc>
        <w:tc>
          <w:tcPr>
            <w:tcW w:w="4065" w:type="dxa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hint="default" w:ascii="Times New Roman" w:hAnsi="Times New Roman" w:eastAsia="方正仿宋简体"/>
                <w:color w:val="333333"/>
                <w:sz w:val="32"/>
              </w:rPr>
              <w:t>1.</w:t>
            </w:r>
            <w:r>
              <w:rPr>
                <w:rFonts w:ascii="Times New Roman" w:hAnsi="方正仿宋简体" w:eastAsia="方正仿宋简体"/>
                <w:color w:val="333333"/>
                <w:sz w:val="32"/>
              </w:rPr>
              <w:t>申请人无正当理由逾期不补正、行政机关不再处理其政府信息公开申请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single" w:color="auto" w:sz="0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1020" w:type="dxa"/>
            <w:vMerge w:val="continue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4065" w:type="dxa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hint="default" w:ascii="Times New Roman" w:hAnsi="Times New Roman" w:eastAsia="方正仿宋简体"/>
                <w:color w:val="333333"/>
                <w:sz w:val="32"/>
              </w:rPr>
              <w:t>2.</w:t>
            </w:r>
            <w:r>
              <w:rPr>
                <w:rFonts w:ascii="Times New Roman" w:hAnsi="方正仿宋简体" w:eastAsia="方正仿宋简体"/>
                <w:color w:val="333333"/>
                <w:sz w:val="32"/>
              </w:rPr>
              <w:t>申请人逾期未按收费通知要求缴纳费用、行政机关不再处理其政府信息公开申请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single" w:color="auto" w:sz="0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1020" w:type="dxa"/>
            <w:vMerge w:val="continue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4065" w:type="dxa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hint="default" w:ascii="Times New Roman" w:hAnsi="Times New Roman" w:eastAsia="方正仿宋简体"/>
                <w:color w:val="333333"/>
                <w:sz w:val="32"/>
              </w:rPr>
              <w:t>3.</w:t>
            </w:r>
            <w:r>
              <w:rPr>
                <w:rFonts w:ascii="Times New Roman" w:hAnsi="方正仿宋简体" w:eastAsia="方正仿宋简体"/>
                <w:color w:val="333333"/>
                <w:sz w:val="32"/>
              </w:rPr>
              <w:t>其他（</w:t>
            </w:r>
            <w:r>
              <w:rPr>
                <w:rFonts w:ascii="Times New Roman" w:hAnsi="方正仿宋简体" w:eastAsia="方正仿宋简体"/>
                <w:color w:val="333333"/>
                <w:sz w:val="28"/>
                <w:shd w:val="clear" w:color="auto" w:fill="FFFFFF"/>
              </w:rPr>
              <w:t>中国政府网等</w:t>
            </w:r>
            <w:r>
              <w:rPr>
                <w:rFonts w:ascii="Times New Roman" w:hAnsi="方正仿宋简体" w:eastAsia="方正仿宋简体"/>
                <w:color w:val="333333"/>
                <w:sz w:val="32"/>
              </w:rPr>
              <w:t>）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single" w:color="auto" w:sz="0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5085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（七）总计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四、结转下年度继续办理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</w:tr>
    </w:tbl>
    <w:p>
      <w:pPr>
        <w:pStyle w:val="6"/>
        <w:widowControl/>
        <w:snapToGrid w:val="0"/>
        <w:spacing w:line="560" w:lineRule="exact"/>
        <w:ind w:firstLine="420"/>
        <w:rPr>
          <w:rFonts w:hint="default" w:ascii="Times New Roman" w:hAnsi="Times New Roman" w:eastAsia="黑体"/>
          <w:sz w:val="32"/>
        </w:rPr>
      </w:pPr>
      <w:r>
        <w:rPr>
          <w:rFonts w:ascii="Times New Roman" w:hAnsi="黑体" w:eastAsia="黑体"/>
          <w:color w:val="333333"/>
          <w:sz w:val="32"/>
        </w:rPr>
        <w:t>四、政府信息公开行政复议、行政诉讼情况</w:t>
      </w:r>
    </w:p>
    <w:tbl>
      <w:tblPr>
        <w:tblStyle w:val="4"/>
        <w:tblW w:w="975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行政复议</w:t>
            </w:r>
          </w:p>
        </w:tc>
        <w:tc>
          <w:tcPr>
            <w:tcW w:w="65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结果纠正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其他结果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尚未审结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总计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结果维持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结果纠正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其他结果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尚未审结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总计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结果维持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结果纠正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其他结果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尚未审结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</w:tbl>
    <w:p>
      <w:pPr>
        <w:pStyle w:val="6"/>
        <w:widowControl/>
        <w:snapToGrid w:val="0"/>
        <w:spacing w:line="560" w:lineRule="exact"/>
        <w:ind w:firstLine="420"/>
        <w:rPr>
          <w:rFonts w:hint="default" w:ascii="Times New Roman" w:hAnsi="Times New Roman" w:eastAsia="黑体"/>
          <w:sz w:val="32"/>
        </w:rPr>
      </w:pPr>
      <w:r>
        <w:rPr>
          <w:rFonts w:ascii="Times New Roman" w:hAnsi="黑体" w:eastAsia="黑体"/>
          <w:color w:val="333333"/>
          <w:sz w:val="32"/>
        </w:rPr>
        <w:t>五、存在的主要问题及改进情况</w:t>
      </w:r>
    </w:p>
    <w:p>
      <w:pPr>
        <w:pStyle w:val="6"/>
        <w:widowControl/>
        <w:snapToGrid w:val="0"/>
        <w:spacing w:line="560" w:lineRule="exact"/>
        <w:ind w:firstLine="420"/>
        <w:rPr>
          <w:rFonts w:hint="eastAsia" w:ascii="楷体" w:hAnsi="楷体" w:eastAsia="楷体" w:cs="楷体"/>
          <w:b/>
          <w:bCs/>
          <w:color w:val="333333"/>
          <w:sz w:val="32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</w:rPr>
        <w:t>(一)存在问题</w:t>
      </w:r>
    </w:p>
    <w:p>
      <w:pPr>
        <w:pStyle w:val="6"/>
        <w:widowControl/>
        <w:snapToGrid w:val="0"/>
        <w:spacing w:line="560" w:lineRule="exact"/>
        <w:ind w:firstLine="420"/>
        <w:rPr>
          <w:rFonts w:hint="eastAsia" w:ascii="方正仿宋简体" w:hAnsi="方正仿宋简体" w:eastAsia="方正仿宋简体" w:cs="方正仿宋简体"/>
          <w:color w:val="333333"/>
          <w:sz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</w:rPr>
        <w:t>我镇的政府信息公开工作虽取得了一定成效，但还存在一些问题和不足，主要有以下几个方面:一是政务公开宣传范围有局限性，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lang w:eastAsia="zh-CN"/>
        </w:rPr>
        <w:t>公开力度有待加强，</w:t>
      </w:r>
      <w:r>
        <w:rPr>
          <w:rFonts w:hint="eastAsia" w:ascii="方正仿宋简体" w:hAnsi="方正仿宋简体" w:eastAsia="方正仿宋简体" w:cs="方正仿宋简体"/>
          <w:color w:val="333333"/>
          <w:sz w:val="32"/>
        </w:rPr>
        <w:t>不能满足村、组农村群众对政府信息的需求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color w:val="333333"/>
          <w:sz w:val="32"/>
        </w:rPr>
        <w:t>二是从事政府信息公开工作人员业务水平还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lang w:eastAsia="zh-CN"/>
        </w:rPr>
        <w:t>有待</w:t>
      </w:r>
      <w:r>
        <w:rPr>
          <w:rFonts w:hint="eastAsia" w:ascii="方正仿宋简体" w:hAnsi="方正仿宋简体" w:eastAsia="方正仿宋简体" w:cs="方正仿宋简体"/>
          <w:color w:val="333333"/>
          <w:sz w:val="32"/>
        </w:rPr>
        <w:t>加强，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lang w:eastAsia="zh-CN"/>
        </w:rPr>
        <w:t>需要通过参加培训等方式加以提升；</w:t>
      </w:r>
      <w:r>
        <w:rPr>
          <w:rFonts w:hint="eastAsia" w:ascii="方正仿宋简体" w:hAnsi="方正仿宋简体" w:eastAsia="方正仿宋简体" w:cs="方正仿宋简体"/>
          <w:color w:val="333333"/>
          <w:sz w:val="32"/>
        </w:rPr>
        <w:t>三是部分信息公布不够及时。</w:t>
      </w:r>
    </w:p>
    <w:p>
      <w:pPr>
        <w:pStyle w:val="6"/>
        <w:widowControl/>
        <w:snapToGrid w:val="0"/>
        <w:spacing w:line="560" w:lineRule="exact"/>
        <w:ind w:firstLine="420"/>
        <w:rPr>
          <w:rFonts w:hint="eastAsia" w:ascii="楷体" w:hAnsi="楷体" w:eastAsia="楷体" w:cs="楷体"/>
          <w:b/>
          <w:bCs/>
          <w:color w:val="333333"/>
          <w:sz w:val="32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</w:rPr>
        <w:t>(二)改进措施</w:t>
      </w:r>
    </w:p>
    <w:p>
      <w:pPr>
        <w:pStyle w:val="6"/>
        <w:widowControl/>
        <w:snapToGrid w:val="0"/>
        <w:spacing w:line="560" w:lineRule="exact"/>
        <w:ind w:firstLine="420"/>
        <w:rPr>
          <w:rFonts w:hint="eastAsia" w:ascii="方正仿宋简体" w:hAnsi="方正仿宋简体" w:eastAsia="方正仿宋简体" w:cs="方正仿宋简体"/>
          <w:color w:val="333333"/>
          <w:sz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color w:val="333333"/>
          <w:sz w:val="32"/>
        </w:rPr>
        <w:t>加大对信息公开工作的宣传力度，引导村、组农村群众正确认识并使用信息公开这种新兴的政府服务职能。</w:t>
      </w:r>
    </w:p>
    <w:p>
      <w:pPr>
        <w:pStyle w:val="6"/>
        <w:widowControl/>
        <w:snapToGrid w:val="0"/>
        <w:spacing w:line="560" w:lineRule="exact"/>
        <w:ind w:firstLine="420"/>
        <w:rPr>
          <w:rFonts w:hint="eastAsia" w:ascii="方正仿宋简体" w:hAnsi="方正仿宋简体" w:eastAsia="方正仿宋简体" w:cs="方正仿宋简体"/>
          <w:color w:val="333333"/>
          <w:sz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color w:val="333333"/>
          <w:sz w:val="32"/>
        </w:rPr>
        <w:t>加大培训力度，不断提高政务信息工作人员的综合素质，增强处理信息的能力，不断提高政府信息公开工作的质量和水平。</w:t>
      </w:r>
    </w:p>
    <w:p>
      <w:pPr>
        <w:pStyle w:val="6"/>
        <w:widowControl/>
        <w:snapToGrid w:val="0"/>
        <w:spacing w:line="560" w:lineRule="exact"/>
        <w:ind w:firstLine="420"/>
        <w:rPr>
          <w:rFonts w:hint="eastAsia" w:ascii="方正仿宋简体" w:hAnsi="方正仿宋简体" w:eastAsia="方正仿宋简体" w:cs="方正仿宋简体"/>
          <w:color w:val="333333"/>
          <w:sz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lang w:val="en-US" w:eastAsia="zh-CN"/>
        </w:rPr>
        <w:t>3.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lang w:eastAsia="zh-CN"/>
        </w:rPr>
        <w:t>加强对</w:t>
      </w:r>
      <w:r>
        <w:rPr>
          <w:rFonts w:hint="eastAsia" w:ascii="方正仿宋简体" w:hAnsi="方正仿宋简体" w:eastAsia="方正仿宋简体" w:cs="方正仿宋简体"/>
          <w:color w:val="333333"/>
          <w:sz w:val="32"/>
        </w:rPr>
        <w:t>信息公开工作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lang w:eastAsia="zh-CN"/>
        </w:rPr>
        <w:t>重视程度</w:t>
      </w:r>
      <w:r>
        <w:rPr>
          <w:rFonts w:hint="eastAsia" w:ascii="方正仿宋简体" w:hAnsi="方正仿宋简体" w:eastAsia="方正仿宋简体" w:cs="方正仿宋简体"/>
          <w:color w:val="333333"/>
          <w:sz w:val="32"/>
        </w:rPr>
        <w:t>，定期进行检查，提高信息公开率，保证及时更新政府信息。</w:t>
      </w:r>
    </w:p>
    <w:p>
      <w:pPr>
        <w:pStyle w:val="6"/>
        <w:widowControl/>
        <w:snapToGrid w:val="0"/>
        <w:spacing w:line="560" w:lineRule="exact"/>
        <w:ind w:firstLine="420"/>
        <w:rPr>
          <w:rFonts w:hint="default" w:ascii="Times New Roman" w:hAnsi="Times New Roman" w:eastAsia="黑体"/>
          <w:sz w:val="32"/>
        </w:rPr>
      </w:pPr>
      <w:r>
        <w:rPr>
          <w:rFonts w:ascii="Times New Roman" w:hAnsi="黑体" w:eastAsia="黑体"/>
          <w:color w:val="333333"/>
          <w:sz w:val="32"/>
        </w:rPr>
        <w:t>六、其他需要报告的事项</w:t>
      </w:r>
    </w:p>
    <w:p>
      <w:pPr>
        <w:ind w:firstLine="320" w:firstLineChars="100"/>
        <w:rPr>
          <w:rFonts w:hint="eastAsia" w:ascii="Times New Roman" w:hAnsi="方正仿宋简体" w:eastAsia="方正仿宋简体"/>
          <w:color w:val="333333"/>
          <w:sz w:val="32"/>
          <w:lang w:eastAsia="zh-CN"/>
        </w:rPr>
      </w:pPr>
      <w:r>
        <w:rPr>
          <w:rFonts w:hint="eastAsia" w:ascii="Times New Roman" w:hAnsi="方正仿宋简体" w:eastAsia="方正仿宋简体"/>
          <w:color w:val="333333"/>
          <w:sz w:val="32"/>
          <w:lang w:eastAsia="zh-CN"/>
        </w:rPr>
        <w:t>无</w:t>
      </w:r>
    </w:p>
    <w:p>
      <w:pPr>
        <w:ind w:firstLine="320" w:firstLineChars="100"/>
        <w:rPr>
          <w:rFonts w:hint="eastAsia" w:ascii="Times New Roman" w:hAnsi="方正仿宋简体" w:eastAsia="方正仿宋简体"/>
          <w:color w:val="333333"/>
          <w:sz w:val="32"/>
          <w:lang w:val="en-US" w:eastAsia="zh-CN"/>
        </w:rPr>
      </w:pPr>
      <w:r>
        <w:rPr>
          <w:rFonts w:hint="eastAsia" w:ascii="Times New Roman" w:hAnsi="方正仿宋简体" w:eastAsia="方正仿宋简体"/>
          <w:color w:val="333333"/>
          <w:sz w:val="32"/>
          <w:lang w:val="en-US" w:eastAsia="zh-CN"/>
        </w:rPr>
        <w:t xml:space="preserve">                              </w:t>
      </w:r>
    </w:p>
    <w:p>
      <w:pPr>
        <w:ind w:firstLine="320" w:firstLineChars="100"/>
        <w:rPr>
          <w:rFonts w:hint="eastAsia" w:ascii="Times New Roman" w:hAnsi="方正仿宋简体" w:eastAsia="方正仿宋简体"/>
          <w:color w:val="333333"/>
          <w:sz w:val="32"/>
          <w:lang w:val="en-US" w:eastAsia="zh-CN"/>
        </w:rPr>
      </w:pPr>
    </w:p>
    <w:p>
      <w:pPr>
        <w:ind w:firstLine="320" w:firstLineChars="100"/>
        <w:rPr>
          <w:rFonts w:hint="eastAsia" w:ascii="Times New Roman" w:hAnsi="方正仿宋简体" w:eastAsia="方正仿宋简体"/>
          <w:color w:val="333333"/>
          <w:sz w:val="32"/>
          <w:lang w:val="en-US" w:eastAsia="zh-CN"/>
        </w:rPr>
      </w:pPr>
    </w:p>
    <w:p>
      <w:pPr>
        <w:ind w:firstLine="320" w:firstLineChars="100"/>
        <w:rPr>
          <w:rFonts w:hint="eastAsia" w:ascii="Times New Roman" w:hAnsi="方正仿宋简体" w:eastAsia="方正仿宋简体"/>
          <w:color w:val="333333"/>
          <w:sz w:val="32"/>
          <w:lang w:val="en-US" w:eastAsia="zh-CN"/>
        </w:rPr>
      </w:pPr>
      <w:r>
        <w:rPr>
          <w:rFonts w:hint="eastAsia" w:ascii="Times New Roman" w:hAnsi="方正仿宋简体" w:eastAsia="方正仿宋简体"/>
          <w:color w:val="333333"/>
          <w:sz w:val="32"/>
          <w:lang w:val="en-US" w:eastAsia="zh-CN"/>
        </w:rPr>
        <w:t xml:space="preserve">                           迁西县上营镇人民政府</w:t>
      </w:r>
    </w:p>
    <w:p>
      <w:pPr>
        <w:ind w:firstLine="5120" w:firstLineChars="1600"/>
        <w:rPr>
          <w:rFonts w:hint="default" w:ascii="Times New Roman" w:hAnsi="方正仿宋简体" w:eastAsia="方正仿宋简体"/>
          <w:color w:val="333333"/>
          <w:sz w:val="32"/>
          <w:lang w:val="en-US" w:eastAsia="zh-CN"/>
        </w:rPr>
      </w:pPr>
      <w:r>
        <w:rPr>
          <w:rFonts w:hint="eastAsia" w:ascii="Times New Roman" w:hAnsi="方正仿宋简体" w:eastAsia="方正仿宋简体"/>
          <w:color w:val="333333"/>
          <w:sz w:val="32"/>
          <w:lang w:val="en-US" w:eastAsia="zh-CN"/>
        </w:rPr>
        <w:t>2025年1月15日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77532"/>
    <w:rsid w:val="08914396"/>
    <w:rsid w:val="0F25686C"/>
    <w:rsid w:val="231E7F34"/>
    <w:rsid w:val="23742787"/>
    <w:rsid w:val="24DA02FA"/>
    <w:rsid w:val="25332DC3"/>
    <w:rsid w:val="289D70FB"/>
    <w:rsid w:val="28AE6187"/>
    <w:rsid w:val="320A6294"/>
    <w:rsid w:val="35F1379D"/>
    <w:rsid w:val="37AE52BF"/>
    <w:rsid w:val="3B7755B5"/>
    <w:rsid w:val="4BE72DBB"/>
    <w:rsid w:val="4EFA7223"/>
    <w:rsid w:val="5A2B4CC2"/>
    <w:rsid w:val="624121E1"/>
    <w:rsid w:val="62D55F8C"/>
    <w:rsid w:val="694D4516"/>
    <w:rsid w:val="699E289E"/>
    <w:rsid w:val="6E063F32"/>
    <w:rsid w:val="6F0D6B49"/>
    <w:rsid w:val="7C345C5D"/>
    <w:rsid w:val="7DA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widowControl/>
      <w:ind w:left="548"/>
      <w:outlineLvl w:val="0"/>
    </w:pPr>
    <w:rPr>
      <w:rFonts w:hint="eastAsia" w:ascii="方正小标宋简体" w:hAnsi="宋体" w:eastAsia="方正小标宋简体"/>
      <w:b/>
      <w:kern w:val="36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Normal (Web)"/>
    <w:basedOn w:val="1"/>
    <w:qFormat/>
    <w:uiPriority w:val="0"/>
    <w:pPr>
      <w:jc w:val="left"/>
    </w:pPr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2023-01-28T03:12:00Z</dcterms:created>
  <dc:creator>Administrator</dc:creator>
  <cp:lastModifiedBy>Administrator</cp:lastModifiedBy>
  <dcterms:modified xsi:type="dcterms:W3CDTF">2025-01-20T00:59:00Z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