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zh-CN"/>
              </w:rPr>
              <w:t>栗乡街道办事处</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54</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91</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13</w:t>
            </w:r>
            <w:r>
              <w:rPr>
                <w:rFonts w:hint="default" w:ascii="Times New Roman" w:hAnsi="Times New Roman" w:eastAsia="方正楷体简体" w:cs="Times New Roman"/>
                <w:sz w:val="24"/>
                <w:szCs w:val="24"/>
                <w:vertAlign w:val="baseline"/>
              </w:rPr>
              <w:t>办理项），法定乡级受理初审</w:t>
            </w:r>
            <w:r>
              <w:rPr>
                <w:rFonts w:hint="eastAsia" w:ascii="Times New Roman" w:hAnsi="Times New Roman" w:eastAsia="方正楷体简体" w:cs="Times New Roman"/>
                <w:sz w:val="24"/>
                <w:szCs w:val="24"/>
                <w:vertAlign w:val="baseline"/>
                <w:lang w:val="en-US" w:eastAsia="zh-CN"/>
              </w:rPr>
              <w:t>24</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42</w:t>
            </w:r>
            <w:r>
              <w:rPr>
                <w:rFonts w:hint="default" w:ascii="Times New Roman" w:hAnsi="Times New Roman" w:eastAsia="方正楷体简体" w:cs="Times New Roman"/>
                <w:sz w:val="24"/>
                <w:szCs w:val="24"/>
                <w:vertAlign w:val="baseline"/>
              </w:rPr>
              <w:t>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w:t>
            </w:r>
            <w:r>
              <w:rPr>
                <w:rFonts w:hint="eastAsia" w:ascii="Times New Roman" w:hAnsi="Times New Roman" w:eastAsia="黑体" w:cs="Times New Roman"/>
                <w:sz w:val="24"/>
                <w:szCs w:val="24"/>
                <w:vertAlign w:val="baseline"/>
                <w:lang w:val="en-US" w:eastAsia="zh-CN"/>
              </w:rPr>
              <w:t>12</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w:t>
            </w:r>
            <w:r>
              <w:rPr>
                <w:rFonts w:hint="eastAsia" w:ascii="Times New Roman" w:hAnsi="Times New Roman" w:eastAsia="黑体" w:cs="Times New Roman"/>
                <w:sz w:val="24"/>
                <w:szCs w:val="24"/>
                <w:vertAlign w:val="baseline"/>
                <w:lang w:val="en-US" w:eastAsia="zh-CN"/>
              </w:rPr>
              <w:t>24</w:t>
            </w:r>
            <w:r>
              <w:rPr>
                <w:rFonts w:hint="default" w:ascii="Times New Roman" w:hAnsi="Times New Roman" w:eastAsia="黑体" w:cs="Times New Roman"/>
                <w:sz w:val="24"/>
                <w:szCs w:val="24"/>
                <w:vertAlign w:val="baseline"/>
                <w:lang w:val="zh-CN"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w:t>
            </w:r>
            <w:bookmarkStart w:id="0" w:name="_GoBack"/>
            <w:bookmarkEnd w:id="0"/>
            <w:r>
              <w:rPr>
                <w:rFonts w:hint="default" w:ascii="Times New Roman" w:hAnsi="Times New Roman" w:eastAsia="方正仿宋简体" w:cs="Times New Roman"/>
                <w:sz w:val="24"/>
                <w:szCs w:val="24"/>
                <w:vertAlign w:val="baseline"/>
                <w:lang w:val="zh-CN" w:eastAsia="zh-CN"/>
              </w:rPr>
              <w:t>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16</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r>
              <w:rPr>
                <w:rFonts w:hint="eastAsia" w:ascii="Times New Roman" w:hAnsi="Times New Roman" w:eastAsia="方正仿宋简体" w:cs="Times New Roman"/>
                <w:sz w:val="24"/>
                <w:szCs w:val="24"/>
                <w:vertAlign w:val="baseline"/>
                <w:lang w:val="en-US" w:eastAsia="zh-CN"/>
              </w:rPr>
              <w:t>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46</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48</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55</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7504F94"/>
    <w:rsid w:val="083B2BFF"/>
    <w:rsid w:val="08E74F62"/>
    <w:rsid w:val="096035ED"/>
    <w:rsid w:val="10C647D1"/>
    <w:rsid w:val="156E02D1"/>
    <w:rsid w:val="1ABD3B88"/>
    <w:rsid w:val="1B6A34EB"/>
    <w:rsid w:val="1B7B0DD4"/>
    <w:rsid w:val="1CFF19FE"/>
    <w:rsid w:val="1D2B42FF"/>
    <w:rsid w:val="1E47176C"/>
    <w:rsid w:val="20035AEC"/>
    <w:rsid w:val="228A0384"/>
    <w:rsid w:val="25596E46"/>
    <w:rsid w:val="262577A5"/>
    <w:rsid w:val="277D4D27"/>
    <w:rsid w:val="29BA737E"/>
    <w:rsid w:val="2A850C12"/>
    <w:rsid w:val="31B90FBF"/>
    <w:rsid w:val="32CC2DB3"/>
    <w:rsid w:val="3393161A"/>
    <w:rsid w:val="35BB31CE"/>
    <w:rsid w:val="36EE107D"/>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6EE161A1"/>
    <w:rsid w:val="728B79A3"/>
    <w:rsid w:val="73054CDB"/>
    <w:rsid w:val="753409E4"/>
    <w:rsid w:val="75446B04"/>
    <w:rsid w:val="76083A79"/>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巍</cp:lastModifiedBy>
  <dcterms:modified xsi:type="dcterms:W3CDTF">2024-12-31T01:34:01Z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