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FFB22">
      <w:pPr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新庄子镇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重大行政执法决定法制审核清单</w:t>
      </w:r>
    </w:p>
    <w:tbl>
      <w:tblPr>
        <w:tblStyle w:val="2"/>
        <w:tblW w:w="14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1134"/>
        <w:gridCol w:w="2836"/>
        <w:gridCol w:w="3403"/>
        <w:gridCol w:w="850"/>
        <w:gridCol w:w="1986"/>
        <w:gridCol w:w="4113"/>
      </w:tblGrid>
      <w:tr w14:paraId="015F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F54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55A3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执法项目大类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072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审核的具体执法决定项目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9846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依据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3BA0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提交</w:t>
            </w:r>
          </w:p>
          <w:p w14:paraId="7CE588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E59C">
            <w:pPr>
              <w:jc w:val="center"/>
              <w:rPr>
                <w:color w:val="000000"/>
                <w:spacing w:val="-10"/>
              </w:rPr>
            </w:pPr>
            <w:r>
              <w:rPr>
                <w:rFonts w:hint="eastAsia"/>
                <w:color w:val="000000"/>
                <w:spacing w:val="-10"/>
              </w:rPr>
              <w:t>应提交的审核资料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83E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审核重点</w:t>
            </w:r>
          </w:p>
        </w:tc>
      </w:tr>
      <w:tr w14:paraId="40865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A7EF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D59F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行政许可类决定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33979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拟做出不予许可决定或撤销许可决定的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D0E76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</w:t>
            </w:r>
            <w:bookmarkStart w:id="0" w:name="_GoBack"/>
            <w:bookmarkEnd w:id="0"/>
            <w:r>
              <w:rPr>
                <w:rFonts w:hint="eastAsia"/>
                <w:color w:val="000000"/>
                <w:sz w:val="18"/>
                <w:szCs w:val="18"/>
              </w:rPr>
              <w:t>执法决定法制审核办法》第二条、《中华人民共和国行政许可法》第三十八条、六十九条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F59D2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行政综合服务中心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6984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拟做出的不予行政许可或撤销许可决定书（代拟稿）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4130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审核作出不予行政许可或撤销许可决定的依据是否准确，程序是否合法</w:t>
            </w:r>
          </w:p>
        </w:tc>
      </w:tr>
      <w:tr w14:paraId="2037A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0C929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BB1C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行政处罚类决定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23B4D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对从事非经营活动的公民处以</w:t>
            </w:r>
            <w:r>
              <w:rPr>
                <w:color w:val="000000"/>
                <w:sz w:val="18"/>
                <w:szCs w:val="18"/>
              </w:rPr>
              <w:t>500</w:t>
            </w:r>
            <w:r>
              <w:rPr>
                <w:rFonts w:hint="eastAsia"/>
                <w:color w:val="000000"/>
                <w:sz w:val="18"/>
                <w:szCs w:val="18"/>
              </w:rPr>
              <w:t>元以上罚款，对从事非经营活动的法人或者其他组织处以</w:t>
            </w:r>
            <w:r>
              <w:rPr>
                <w:color w:val="000000"/>
                <w:sz w:val="18"/>
                <w:szCs w:val="18"/>
              </w:rPr>
              <w:t>5000</w:t>
            </w:r>
            <w:r>
              <w:rPr>
                <w:rFonts w:hint="eastAsia"/>
                <w:color w:val="000000"/>
                <w:sz w:val="18"/>
                <w:szCs w:val="18"/>
              </w:rPr>
              <w:t>元以上罚款；对从事经营活动的公民处以</w:t>
            </w:r>
            <w:r>
              <w:rPr>
                <w:color w:val="000000"/>
                <w:sz w:val="18"/>
                <w:szCs w:val="18"/>
              </w:rPr>
              <w:t>1000</w:t>
            </w:r>
            <w:r>
              <w:rPr>
                <w:rFonts w:hint="eastAsia"/>
                <w:color w:val="000000"/>
                <w:sz w:val="18"/>
                <w:szCs w:val="18"/>
              </w:rPr>
              <w:t>元以上罚款，对从事经营活动的法人或者其他组织处以</w:t>
            </w:r>
            <w:r>
              <w:rPr>
                <w:color w:val="000000"/>
                <w:sz w:val="18"/>
                <w:szCs w:val="18"/>
              </w:rPr>
              <w:t>10000</w:t>
            </w:r>
            <w:r>
              <w:rPr>
                <w:rFonts w:hint="eastAsia"/>
                <w:color w:val="000000"/>
                <w:sz w:val="18"/>
                <w:szCs w:val="18"/>
              </w:rPr>
              <w:t>元以上罚款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A2605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《河北省重大行政执法决定法制审核办法》第二条、《中华人民共和国行政处罚法》第四十二条、《河北省人民政府关于行政处罚听证范围中较大数额罚款数额的通知》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D3C5D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C9C33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案件调查报告、行政相对人陈述申辩笔录、相关证据资料、行政处罚决定书等（代拟稿）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4DDFF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（一）执法主体是否合法，执法人员是否具备执法资格；</w:t>
            </w:r>
          </w:p>
          <w:p w14:paraId="511811A1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（二）主要事实是否清楚，证据是否确凿充分；</w:t>
            </w:r>
          </w:p>
          <w:p w14:paraId="194D67D0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（三）适用法律法规规章是否准确，执行处罚裁量权标准是否适当；</w:t>
            </w:r>
          </w:p>
          <w:p w14:paraId="2055B405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（四）程序是否合法，是否充分保障行政相对人权利。</w:t>
            </w:r>
          </w:p>
        </w:tc>
      </w:tr>
      <w:tr w14:paraId="29A1E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1A09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7426D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2E161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责令停产停业、吊销许可证或执照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3569F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《河北省重大行政执法决定法制审核办法》第二条、《中华人民共和国行政处罚法》第四十二条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348D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8BD08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案件调查报告、行政相对人陈述申辩笔录、相关证据资料、行政处罚决定书等（代拟稿）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0B8B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（一）执法主体是否合法，执法人员是否具备执法资格；</w:t>
            </w:r>
          </w:p>
          <w:p w14:paraId="47B53755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（二）主要事实是否清楚，证据是否确凿充分；</w:t>
            </w:r>
          </w:p>
          <w:p w14:paraId="37D1C187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（三）适用法律法规规章是否准确，执行处罚裁量权标准是否适当；</w:t>
            </w:r>
          </w:p>
          <w:p w14:paraId="0B541A2F">
            <w:pPr>
              <w:spacing w:line="260" w:lineRule="exact"/>
              <w:rPr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14"/>
                <w:sz w:val="18"/>
                <w:szCs w:val="18"/>
              </w:rPr>
              <w:t>（四）程序是否合法，是否充分保障行政相对人权利。</w:t>
            </w:r>
          </w:p>
        </w:tc>
      </w:tr>
      <w:tr w14:paraId="33E7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E44D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5F1B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行政强制类决定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4A159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查封、扣押，冻结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096D6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《河北省重大行政执法决定法制审核办法》第二条、《中华人民共和国行政强制法》第十六条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E8F14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AAD1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现场笔录、行政强制措施审批表、相关证据资料、行政强制措施决定书等（代拟稿）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FB0B9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（一）强制措施是否符合法定条件；</w:t>
            </w:r>
          </w:p>
          <w:p w14:paraId="0EDD7CE8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（二）强制措施是否按规定审批</w:t>
            </w:r>
          </w:p>
        </w:tc>
      </w:tr>
      <w:tr w14:paraId="297AC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DBA46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E014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01F8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强制拆除、卸载等强制执行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3D293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《河北省重大行政执法决定法制审核办法》第二条、《中华人民共和国行政强制法》第四十四条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0DD76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6FD65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行政强制执行催告书、行政强制执行决定书（代拟稿）等相关审核资料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AB8E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（一）是否事先催告当事人履行义务；</w:t>
            </w:r>
          </w:p>
          <w:p w14:paraId="44A4E2D5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（二）是否听取当事人陈述和申辩，当事人提出的事实、理由或证据成立的，承办部门是否采纳；</w:t>
            </w:r>
          </w:p>
          <w:p w14:paraId="690C2D35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（三）采取强制执行是否符合法定条件；</w:t>
            </w:r>
          </w:p>
          <w:p w14:paraId="51BBC2AF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（四）采取强制执行是否按规定审批。</w:t>
            </w:r>
          </w:p>
        </w:tc>
      </w:tr>
    </w:tbl>
    <w:p w14:paraId="09243FA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MTBiMDRlZDI4ODI3MGYxODA2MzIwZmZlYTZhMzUifQ=="/>
  </w:docVars>
  <w:rsids>
    <w:rsidRoot w:val="00000000"/>
    <w:rsid w:val="6CD27583"/>
    <w:rsid w:val="70FE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1028</Words>
  <Characters>1040</Characters>
  <Lines>0</Lines>
  <Paragraphs>0</Paragraphs>
  <TotalTime>1</TotalTime>
  <ScaleCrop>false</ScaleCrop>
  <LinksUpToDate>false</LinksUpToDate>
  <CharactersWithSpaces>1040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wat</cp:lastModifiedBy>
  <dcterms:modified xsi:type="dcterms:W3CDTF">2024-12-10T02:13:44Z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B595E11EF1964AC78FB3596B0A771010_12</vt:lpwstr>
  </property>
</Properties>
</file>