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迁西县发展和改革局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shd w:val="clear" w:fill="FFFFFF"/>
        </w:rPr>
        <w:t>权责清单管理办法</w:t>
      </w:r>
    </w:p>
    <w:p>
      <w:pPr>
        <w:jc w:val="center"/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 w:firstLineChars="200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第一条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为深入推行权责清单制度，加强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县发改局</w:t>
      </w: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权责清单管理，规范行政权力运行，根据有关法律、法规和规章，结合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我局</w:t>
      </w: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实际，制定本办法。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第二条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本办法所称权责清单，是指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县发改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部门实施的行政许可、行政处罚、行政强制、行政征收、行政给付、行政裁决、行政确认、行政奖励、行政检查、其他行政权力等行政权力事项和公共服务事项及其对应的责任事项（以下统称权责事项），以清单的形式列明，并向社会公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三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条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县发改局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按照现行法律、法规和规章等，结合“三定”规定，梳理权责事项，编制权责清单。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四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条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县发改局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充分发挥权责清单制度的基础性制度效用，将权责清单贯穿到职能运行的各个环节各个方面，严格按照权责清单履职尽责，未纳入权责清单且无法定依据的权责事项不得实施。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五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条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县发改局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以权责清单为基础，编制政务服务事项实施清单、网上运行要素清单、监管事项清单等，建立健全清单管理制度体系。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六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条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权责清单实行动态调整。有下列情形之一的，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县发改局可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对权责清单进行调整：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（一）因法律、法规、规章等颁布、修改或者废止，导致权责事项发生变化的；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（二）国务院或者省、市、县（市、区）政府决定对权责事项予以调整的；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（三）政府部门机构职能发生调整的；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（四）其他应当予以调整的情形。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七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条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县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发改局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权责清单调整应当遵循下列规定：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（一）符合本办法第十一条第（一）项情形的，自法律、法规、规章等生效后 7 个工作日内调整；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（二）符合本办法第十一条第（二）项情形的，自决定发布后 7 个工作日内调整；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（三）符合本办法第十一条第（三）项情形的，自政府部门机构职能调整后 7 个工作日内调整；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（四）符合本办法第十一条第（四）项情形的，自情形发生后 7 个工作日内调整。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权责事项涉及两个以上政府部门分别实施的，由相关部门协商调整。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八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条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本办法自发布之日起施行。</w:t>
      </w:r>
    </w:p>
    <w:p>
      <w:pPr>
        <w:jc w:val="both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912C5"/>
    <w:rsid w:val="2BC9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2024-09-25T06:43:00Z</dcterms:created>
  <dc:creator>Administrator</dc:creator>
  <cp:lastModifiedBy>Administrator</cp:lastModifiedBy>
  <dcterms:modified xsi:type="dcterms:W3CDTF">2024-09-25T06:54:17Z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