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i w:val="0"/>
          <w:iCs w:val="0"/>
          <w:color w:val="000000"/>
          <w:kern w:val="0"/>
          <w:sz w:val="44"/>
          <w:szCs w:val="44"/>
          <w:u w:val="none"/>
          <w:lang w:val="en-US" w:eastAsia="zh-CN" w:bidi="ar"/>
        </w:rPr>
      </w:pPr>
      <w:bookmarkStart w:id="0" w:name="_top"/>
      <w:r>
        <w:rPr>
          <w:rFonts w:hint="eastAsia" w:ascii="宋体" w:hAnsi="宋体" w:eastAsia="宋体" w:cs="宋体"/>
          <w:b/>
          <w:bCs/>
          <w:i w:val="0"/>
          <w:iCs w:val="0"/>
          <w:color w:val="000000"/>
          <w:kern w:val="0"/>
          <w:sz w:val="44"/>
          <w:szCs w:val="44"/>
          <w:u w:val="none"/>
          <w:lang w:val="en-US" w:eastAsia="zh-CN" w:bidi="ar"/>
        </w:rPr>
        <w:t>《迁西县烟草制品零售点合理布局管理规定（征求意见稿）》</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仿宋" w:hAnsi="仿宋" w:eastAsia="仿宋" w:cs="仿宋"/>
          <w:sz w:val="36"/>
          <w:szCs w:val="36"/>
          <w:lang w:val="en-US" w:eastAsia="zh-CN"/>
        </w:rPr>
      </w:pPr>
      <w:r>
        <w:rPr>
          <w:rFonts w:hint="eastAsia" w:ascii="黑体" w:hAnsi="黑体" w:eastAsia="黑体" w:cs="黑体"/>
          <w:b w:val="0"/>
          <w:bCs w:val="0"/>
          <w:sz w:val="36"/>
          <w:szCs w:val="36"/>
          <w:lang w:val="en-US" w:eastAsia="zh-CN"/>
        </w:rPr>
        <w:t>总    则</w:t>
      </w:r>
      <w:bookmarkEnd w:id="0"/>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第一条  </w:t>
      </w:r>
      <w:r>
        <w:rPr>
          <w:rFonts w:hint="eastAsia" w:ascii="宋体" w:hAnsi="宋体" w:eastAsia="宋体" w:cs="宋体"/>
          <w:sz w:val="28"/>
          <w:szCs w:val="28"/>
          <w:lang w:val="en-US" w:eastAsia="zh-CN"/>
        </w:rPr>
        <w:t>为深入推进国务院“放管服”改革，适应国家简政放权要求，加强烟草专卖零售许可证管理，规范烟草制品零售市场经营秩序，保护未成年人、消费者和经营者合法权益，促进烟草市场健康发展，营造好良好的社会营商环境。根据《中华人民共和国行政许可法》《中华人民共和国未成</w:t>
      </w:r>
      <w:r>
        <w:rPr>
          <w:rFonts w:hint="eastAsia" w:ascii="宋体" w:hAnsi="宋体" w:eastAsia="宋体" w:cs="宋体"/>
          <w:color w:val="auto"/>
          <w:sz w:val="28"/>
          <w:szCs w:val="28"/>
          <w:u w:val="none"/>
          <w:lang w:val="en-US" w:eastAsia="zh-CN"/>
        </w:rPr>
        <w:t>年人保护法》《中华人民共和国烟草专卖法》及其实施条例、《烟草专卖许可证管理办法》及其实施细则、《唐山市防止二手烟草烟雾危害管理办法》等规定</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u w:val="none"/>
          <w:lang w:val="en-US" w:eastAsia="zh-CN"/>
        </w:rPr>
        <w:t>结合本县实际，制订本规定。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sz w:val="28"/>
          <w:szCs w:val="28"/>
          <w:lang w:val="en-US" w:eastAsia="zh-CN"/>
        </w:rPr>
      </w:pPr>
      <w:r>
        <w:rPr>
          <w:rFonts w:hint="eastAsia" w:ascii="黑体" w:hAnsi="黑体" w:eastAsia="黑体" w:cs="黑体"/>
          <w:color w:val="auto"/>
          <w:kern w:val="2"/>
          <w:sz w:val="32"/>
          <w:szCs w:val="32"/>
          <w:lang w:val="en-US" w:eastAsia="zh-CN" w:bidi="ar-SA"/>
        </w:rPr>
        <w:t xml:space="preserve">第二条  </w:t>
      </w:r>
      <w:r>
        <w:rPr>
          <w:rFonts w:hint="eastAsia" w:ascii="宋体" w:hAnsi="宋体" w:eastAsia="宋体" w:cs="宋体"/>
          <w:sz w:val="28"/>
          <w:szCs w:val="28"/>
          <w:lang w:val="en-US" w:eastAsia="zh-CN"/>
        </w:rPr>
        <w:t>烟草制品零售点合理布局遵循依法行政、科学规划、服务社会、均衡发展、动态平衡、市场导向、分区规划的原则，零售点布局超出规划数量的不予新设。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lang w:val="en-US" w:eastAsia="zh-CN"/>
        </w:rPr>
      </w:pPr>
      <w:r>
        <w:rPr>
          <w:rFonts w:hint="eastAsia" w:ascii="黑体" w:hAnsi="黑体" w:eastAsia="黑体" w:cs="黑体"/>
          <w:color w:val="auto"/>
          <w:kern w:val="2"/>
          <w:sz w:val="32"/>
          <w:szCs w:val="32"/>
          <w:lang w:val="en-US" w:eastAsia="zh-CN" w:bidi="ar-SA"/>
        </w:rPr>
        <w:t xml:space="preserve">第三条  </w:t>
      </w:r>
      <w:r>
        <w:rPr>
          <w:rFonts w:hint="eastAsia" w:ascii="宋体" w:hAnsi="宋体" w:eastAsia="宋体" w:cs="宋体"/>
          <w:sz w:val="28"/>
          <w:szCs w:val="28"/>
          <w:lang w:val="en-US" w:eastAsia="zh-CN"/>
        </w:rPr>
        <w:t>本《</w:t>
      </w:r>
      <w:r>
        <w:rPr>
          <w:rFonts w:hint="eastAsia" w:ascii="宋体" w:hAnsi="宋体" w:eastAsia="宋体" w:cs="宋体"/>
          <w:color w:val="auto"/>
          <w:sz w:val="28"/>
          <w:szCs w:val="28"/>
          <w:lang w:val="en-US" w:eastAsia="zh-CN"/>
        </w:rPr>
        <w:t>规定》适用于迁西县行政区域内烟草制品零售点（不含电子烟）的设置与管理。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第四条  </w:t>
      </w:r>
      <w:r>
        <w:rPr>
          <w:rFonts w:hint="eastAsia" w:ascii="宋体" w:hAnsi="宋体" w:eastAsia="宋体" w:cs="宋体"/>
          <w:color w:val="auto"/>
          <w:sz w:val="28"/>
          <w:szCs w:val="28"/>
          <w:u w:val="none"/>
          <w:lang w:val="en-US" w:eastAsia="zh-CN"/>
        </w:rPr>
        <w:t>本《规定》所称烟草制品零售点（以下简称零售点）是指公民、法人及其他组织依法申请取得烟草专卖零售许可证从事烟草制品零售业务的经营场所。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零售点应当设置于与住所相独立的固定经营场所，面向公众经营，并在营业执照登记注册的经营场所范围内。</w:t>
      </w:r>
      <w:bookmarkStart w:id="1" w:name="_GoBack"/>
      <w:bookmarkEnd w:id="1"/>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第五条  </w:t>
      </w:r>
      <w:r>
        <w:rPr>
          <w:rFonts w:hint="eastAsia" w:ascii="宋体" w:hAnsi="宋体" w:eastAsia="宋体" w:cs="宋体"/>
          <w:color w:val="auto"/>
          <w:sz w:val="28"/>
          <w:szCs w:val="28"/>
          <w:u w:val="none"/>
          <w:lang w:val="en-US" w:eastAsia="zh-CN"/>
        </w:rPr>
        <w:t>本《规定》所称的合理布局，是以维护国家利益、维护消费者利益，满足社会需求、方便消费者购买为根本，综合考量辖区内人口数量、经济发展水平、消费能力、交通状况等因素，适当照顾弱势群体，保护未成年人身心健康，维护正常市场秩序，对辖区零售点进行布局。</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合理布局规定标准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第六条  </w:t>
      </w:r>
      <w:r>
        <w:rPr>
          <w:rFonts w:hint="eastAsia" w:ascii="宋体" w:hAnsi="宋体" w:eastAsia="宋体" w:cs="宋体"/>
          <w:color w:val="auto"/>
          <w:sz w:val="28"/>
          <w:szCs w:val="28"/>
          <w:u w:val="none"/>
          <w:lang w:val="en-US" w:eastAsia="zh-CN"/>
        </w:rPr>
        <w:t>申请烟草专卖零售许可证，应当具备下列条件：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（一）有与经营烟草制品零售业务相适应的资金；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（二）有与住所相独立的固定经营场所；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（三）符合当地烟草制品零售点合理布局的要求；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（四）国家烟草专卖局规定的其他条件。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第七条  </w:t>
      </w:r>
      <w:r>
        <w:rPr>
          <w:rFonts w:hint="eastAsia" w:ascii="宋体" w:hAnsi="宋体" w:eastAsia="宋体" w:cs="宋体"/>
          <w:color w:val="auto"/>
          <w:sz w:val="28"/>
          <w:szCs w:val="28"/>
          <w:u w:val="none"/>
          <w:lang w:val="en-US" w:eastAsia="zh-CN"/>
        </w:rPr>
        <w:t>本规划以区域位置、人口消费结构、特殊环境差异等因素，将街道、乡镇等较为稳定、相对独立的区域划分为若干市场单元，根据人口数量、交通状况、经济发展水平、消费能力等因素，综合计算确定各市场单元零售点总量指导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highlight w:val="none"/>
          <w:u w:val="none"/>
          <w:lang w:val="en-US" w:eastAsia="zh-CN"/>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hint="eastAsia" w:ascii="黑体" w:hAnsi="黑体" w:eastAsia="黑体" w:cs="黑体"/>
          <w:color w:val="auto"/>
          <w:kern w:val="2"/>
          <w:sz w:val="32"/>
          <w:szCs w:val="32"/>
          <w:lang w:val="en-US" w:eastAsia="zh-CN" w:bidi="ar-SA"/>
        </w:rPr>
        <w:t xml:space="preserve">第八条  </w:t>
      </w:r>
      <w:r>
        <w:rPr>
          <w:rFonts w:hint="eastAsia" w:ascii="宋体" w:hAnsi="宋体" w:eastAsia="宋体" w:cs="宋体"/>
          <w:color w:val="auto"/>
          <w:sz w:val="28"/>
          <w:szCs w:val="28"/>
          <w:highlight w:val="none"/>
          <w:u w:val="none"/>
          <w:lang w:val="en-US" w:eastAsia="zh-CN"/>
        </w:rPr>
        <w:t>市场单元零售点总量指导数实行定期评价、动态管理。根据经济发展、城市建设、乡村建设、市场形势等变化情况对局部市场单元零售点总量指导数进行调整。调整后的各市场单元零售点总量指导数应在地方政府网站或本单位行政许可办公场所依法依规公告后施行。</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有以下情形的，可立即启用应急机制，对市场单元零售点总量指导、区域类型等进行调整，在地方政府网站或本单位行政许可办公场所依法依规公告后施行：</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因政府拆迁、城市规划、乡村建设等因素导致居民小区、大型商超、交通枢纽等情况新增或退出的，可及时调整市场单元零售点规划数量；</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因城市建设改造，实际已形成住宅小区、商圈等，与原区域类型不同，由烟草专卖局根据实际情况判断区域类型，并向社会公告，按本《规定》相关条款执行；</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beforeAutospacing="0" w:afterAutospacing="0"/>
        <w:ind w:firstLine="840" w:firstLineChars="3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出现第十四条情形时，可对所涉及的市场单元零售点规划数量进行调整，并在排队轮候系统进行公示。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第九条  </w:t>
      </w:r>
      <w:r>
        <w:rPr>
          <w:rFonts w:hint="eastAsia" w:ascii="宋体" w:hAnsi="宋体" w:eastAsia="宋体" w:cs="宋体"/>
          <w:color w:val="auto"/>
          <w:sz w:val="28"/>
          <w:szCs w:val="28"/>
          <w:u w:val="none"/>
          <w:lang w:val="en-US" w:eastAsia="zh-CN"/>
        </w:rPr>
        <w:t>市场单元内零售点存量等于或超过总量指导数时该市场单元为饱和区，不予发放烟草专卖零售许可证，对申请人由发证机关作出不予许可决定后，依照申请人意愿进入排队轮候程序，有办证指标时，烟草专卖局按照轮候顺序通知申请人提交申请材料，并在市场单元规划数量内根据“退一进一”的原则办理。按照预留联系方式无法联系到申请人的，视为放弃本次申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放弃本次申请或经核查不符合办证条件的，按照轮候顺序通知下一个轮候申请人提交申请材料。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firstLine="560" w:firstLineChars="20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轮候申请人与实际申请人应当一致，轮候顺序不得调换或转让。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第十条  </w:t>
      </w:r>
      <w:r>
        <w:rPr>
          <w:rFonts w:hint="eastAsia" w:ascii="宋体" w:hAnsi="宋体" w:eastAsia="宋体" w:cs="宋体"/>
          <w:color w:val="auto"/>
          <w:sz w:val="28"/>
          <w:szCs w:val="28"/>
          <w:u w:val="none"/>
          <w:lang w:val="en-US" w:eastAsia="zh-CN"/>
        </w:rPr>
        <w:t>零售点总体布局实行“总量+间距”组合运用布局模式，在满足市场单元内零售户存量低于总量指导数的前提下，对零售许可新办申请设置距离控制标准,具体间距标准如下：</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相邻零售点间距距离不低于50米；</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u w:val="none"/>
        </w:rPr>
        <w:t>国道、省道</w:t>
      </w:r>
      <w:r>
        <w:rPr>
          <w:rFonts w:hint="eastAsia" w:ascii="宋体" w:hAnsi="宋体" w:eastAsia="宋体" w:cs="宋体"/>
          <w:color w:val="auto"/>
          <w:sz w:val="28"/>
          <w:szCs w:val="28"/>
          <w:u w:val="none"/>
          <w:lang w:eastAsia="zh-CN"/>
        </w:rPr>
        <w:t>、县</w:t>
      </w:r>
      <w:r>
        <w:rPr>
          <w:rFonts w:hint="eastAsia" w:ascii="宋体" w:hAnsi="宋体" w:eastAsia="宋体" w:cs="宋体"/>
          <w:color w:val="auto"/>
          <w:sz w:val="28"/>
          <w:szCs w:val="28"/>
          <w:u w:val="none"/>
        </w:rPr>
        <w:t>道公路沿线</w:t>
      </w:r>
      <w:r>
        <w:rPr>
          <w:rFonts w:hint="eastAsia" w:ascii="宋体" w:hAnsi="宋体" w:eastAsia="宋体" w:cs="宋体"/>
          <w:color w:val="auto"/>
          <w:sz w:val="28"/>
          <w:szCs w:val="28"/>
          <w:u w:val="none"/>
          <w:lang w:val="en-US" w:eastAsia="zh-CN"/>
        </w:rPr>
        <w:t>相邻零售点</w:t>
      </w:r>
      <w:r>
        <w:rPr>
          <w:rFonts w:hint="eastAsia" w:ascii="宋体" w:hAnsi="宋体" w:eastAsia="宋体" w:cs="宋体"/>
          <w:color w:val="auto"/>
          <w:sz w:val="28"/>
          <w:szCs w:val="28"/>
          <w:u w:val="none"/>
        </w:rPr>
        <w:t>间距不低于100米；</w:t>
      </w:r>
    </w:p>
    <w:p>
      <w:pPr>
        <w:keepNext w:val="0"/>
        <w:keepLines w:val="0"/>
        <w:pageBreakBefore w:val="0"/>
        <w:widowControl w:val="0"/>
        <w:numPr>
          <w:ilvl w:val="0"/>
          <w:numId w:val="3"/>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与烟草制品零售业务没有直接或间接互补营销关系的业态类型，相邻零售点间距距离不低于300米。</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both"/>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第十一条  </w:t>
      </w:r>
      <w:r>
        <w:rPr>
          <w:rFonts w:hint="eastAsia" w:ascii="宋体" w:hAnsi="宋体" w:eastAsia="宋体" w:cs="宋体"/>
          <w:color w:val="auto"/>
          <w:sz w:val="28"/>
          <w:szCs w:val="28"/>
          <w:u w:val="none"/>
          <w:lang w:val="en-US" w:eastAsia="zh-CN"/>
        </w:rPr>
        <w:t>特殊区域市场内，按“一区域一政策”的原则，按以下标准单独设置零售点：</w:t>
      </w:r>
    </w:p>
    <w:p>
      <w:pPr>
        <w:pStyle w:val="3"/>
        <w:numPr>
          <w:ilvl w:val="0"/>
          <w:numId w:val="0"/>
        </w:numPr>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kern w:val="2"/>
          <w:sz w:val="28"/>
          <w:szCs w:val="28"/>
          <w:u w:val="none"/>
          <w:lang w:val="en-US" w:eastAsia="zh-CN" w:bidi="ar-SA"/>
        </w:rPr>
        <w:t>（一）营业面积在1000平方米以上的单一功能的超市或2000平米以上的宾馆、酒店、娱乐休闲等单一功能的消费场所设置1个零售点</w:t>
      </w:r>
      <w:r>
        <w:rPr>
          <w:rFonts w:hint="eastAsia" w:ascii="宋体" w:hAnsi="宋体" w:eastAsia="宋体" w:cs="宋体"/>
          <w:color w:val="auto"/>
          <w:sz w:val="28"/>
          <w:szCs w:val="28"/>
          <w:highlight w:val="none"/>
          <w:u w:val="none"/>
          <w:lang w:val="en-US" w:eastAsia="zh-CN"/>
        </w:rPr>
        <w:t>，该类零售点不受本《规定》合理布局总量和第十条规定间距限制且不作为其他申办点的参照点；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（二）高速服务区两侧可各设立1个，该类零售点不受本《规定》合理布局总量和第十条规定间距限制且不作为其他申办点的参照点；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（三）部队、监狱、看守所、拘留所、戒毒所等全封闭管理区域设置1个零售点，该类零售点不受本《规定》合理布局总量和第十条规定间距限制且不作为其他申办点的参照点；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（四）机场、汽车站、火车站内可设置1个零售点，该类零售点不受本《规定》合理布局总量和第十条规定间距限制且不作为其他申办点的参照点；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五）商业综合体、购物中心等复合功能场所内（形成的便利店、烟酒专柜、超市、商场等实际商品展卖场区），20000平米以下的，设置1个零售点；20000平米以上的，可在一层及地下一层分别设置1个零售点，该类零售点不受本《规定》合理布局总量和第十条（一）、（二）款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六）由政府统一规划建设的各类综合商品批发市场、专业市场、集贸市场、标准化市场等的交易大厅内可设置1个零售点，该类零售点不受本《规定》合理布局总量和第十条（一）、（二）款规定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七）工业园内，临街有独立面向公共正常开放且具有卷烟陈列、展示条件的便利店、超市等消费场所，可设置4个零售点（工业园内有多个企业且各配有生活区的，按每个生活区可设置1个零售点执行），该类零售点不受本《规定》合理布局总量和第十条（一）、（二）款规定间距限制且不作为其他申办点的参照点；</w:t>
      </w:r>
    </w:p>
    <w:p>
      <w:pPr>
        <w:pStyle w:val="3"/>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（八）旅游景区游客服务中心的便利店、超市等消费场所，可设置1个零售点，该类零售点不受本《规定》合理布局总量限制；</w:t>
      </w:r>
    </w:p>
    <w:p>
      <w:pPr>
        <w:pStyle w:val="3"/>
        <w:ind w:firstLine="560" w:firstLineChars="200"/>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u w:val="none"/>
          <w:lang w:val="en-US" w:eastAsia="zh-CN"/>
        </w:rPr>
        <w:t>（九）封闭式住宅小区内对内经营的不再新增零售点，</w:t>
      </w:r>
      <w:r>
        <w:rPr>
          <w:rFonts w:hint="eastAsia" w:ascii="宋体" w:hAnsi="宋体" w:eastAsia="宋体" w:cs="宋体"/>
          <w:color w:val="auto"/>
          <w:sz w:val="28"/>
          <w:szCs w:val="28"/>
          <w:u w:val="none"/>
        </w:rPr>
        <w:t>毗邻街道</w:t>
      </w:r>
      <w:r>
        <w:rPr>
          <w:rFonts w:hint="eastAsia" w:ascii="宋体" w:hAnsi="宋体" w:eastAsia="宋体" w:cs="宋体"/>
          <w:color w:val="auto"/>
          <w:sz w:val="28"/>
          <w:szCs w:val="28"/>
          <w:highlight w:val="none"/>
          <w:u w:val="none"/>
        </w:rPr>
        <w:t>对外经营的零售点,依照本《规定》第</w:t>
      </w:r>
      <w:r>
        <w:rPr>
          <w:rFonts w:hint="eastAsia" w:ascii="宋体" w:hAnsi="宋体" w:eastAsia="宋体" w:cs="宋体"/>
          <w:color w:val="auto"/>
          <w:sz w:val="28"/>
          <w:szCs w:val="28"/>
          <w:highlight w:val="none"/>
          <w:u w:val="none"/>
          <w:lang w:eastAsia="zh-CN"/>
        </w:rPr>
        <w:t>十</w:t>
      </w:r>
      <w:r>
        <w:rPr>
          <w:rFonts w:hint="eastAsia" w:ascii="宋体" w:hAnsi="宋体" w:eastAsia="宋体" w:cs="宋体"/>
          <w:color w:val="auto"/>
          <w:sz w:val="28"/>
          <w:szCs w:val="28"/>
          <w:highlight w:val="none"/>
          <w:u w:val="none"/>
        </w:rPr>
        <w:t>条</w:t>
      </w:r>
      <w:r>
        <w:rPr>
          <w:rFonts w:hint="eastAsia" w:ascii="宋体" w:hAnsi="宋体" w:eastAsia="宋体" w:cs="宋体"/>
          <w:color w:val="auto"/>
          <w:sz w:val="28"/>
          <w:szCs w:val="28"/>
          <w:highlight w:val="none"/>
          <w:u w:val="none"/>
          <w:lang w:val="en-US" w:eastAsia="zh-CN"/>
        </w:rPr>
        <w:t>规定</w:t>
      </w:r>
      <w:r>
        <w:rPr>
          <w:rFonts w:hint="eastAsia" w:ascii="宋体" w:hAnsi="宋体" w:eastAsia="宋体" w:cs="宋体"/>
          <w:color w:val="auto"/>
          <w:sz w:val="28"/>
          <w:szCs w:val="28"/>
          <w:highlight w:val="none"/>
          <w:u w:val="none"/>
        </w:rPr>
        <w:t>办理</w:t>
      </w:r>
      <w:r>
        <w:rPr>
          <w:rFonts w:hint="eastAsia" w:ascii="宋体" w:hAnsi="宋体" w:eastAsia="宋体" w:cs="宋体"/>
          <w:color w:val="auto"/>
          <w:sz w:val="28"/>
          <w:szCs w:val="28"/>
          <w:highlight w:val="none"/>
          <w:u w:val="none"/>
          <w:lang w:eastAsia="zh-CN"/>
        </w:rPr>
        <w:t>。</w:t>
      </w:r>
    </w:p>
    <w:p>
      <w:pPr>
        <w:pStyle w:val="3"/>
        <w:ind w:firstLine="560" w:firstLineChars="200"/>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如封闭式小片区外部无法设立零售点，在小区内有独立面向公共正常开放且具有卷烟陈列、展示条件的便利店、超市等消费场所的，可设置2个零售店，依照本《规定》第十条规定办理。</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trike w:val="0"/>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（十）每个</w:t>
      </w:r>
      <w:r>
        <w:rPr>
          <w:rFonts w:hint="eastAsia" w:ascii="宋体" w:hAnsi="宋体" w:eastAsia="宋体" w:cs="宋体"/>
          <w:color w:val="auto"/>
          <w:sz w:val="28"/>
          <w:szCs w:val="28"/>
          <w:highlight w:val="none"/>
          <w:u w:val="none"/>
        </w:rPr>
        <w:t>行政村、自然村内零售点</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含</w:t>
      </w:r>
      <w:r>
        <w:rPr>
          <w:rFonts w:hint="eastAsia" w:ascii="宋体" w:hAnsi="宋体" w:eastAsia="宋体" w:cs="宋体"/>
          <w:color w:val="auto"/>
          <w:sz w:val="28"/>
          <w:szCs w:val="28"/>
          <w:highlight w:val="none"/>
          <w:u w:val="none"/>
        </w:rPr>
        <w:t>国道、省道</w:t>
      </w:r>
      <w:r>
        <w:rPr>
          <w:rFonts w:hint="eastAsia" w:ascii="宋体" w:hAnsi="宋体" w:eastAsia="宋体" w:cs="宋体"/>
          <w:color w:val="auto"/>
          <w:sz w:val="28"/>
          <w:szCs w:val="28"/>
          <w:highlight w:val="none"/>
          <w:u w:val="none"/>
          <w:lang w:eastAsia="zh-CN"/>
        </w:rPr>
        <w:t>、县</w:t>
      </w:r>
      <w:r>
        <w:rPr>
          <w:rFonts w:hint="eastAsia" w:ascii="宋体" w:hAnsi="宋体" w:eastAsia="宋体" w:cs="宋体"/>
          <w:color w:val="auto"/>
          <w:sz w:val="28"/>
          <w:szCs w:val="28"/>
          <w:highlight w:val="none"/>
          <w:u w:val="none"/>
        </w:rPr>
        <w:t>道公路沿线零售点</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数量</w:t>
      </w:r>
      <w:r>
        <w:rPr>
          <w:rFonts w:hint="eastAsia" w:ascii="宋体" w:hAnsi="宋体" w:eastAsia="宋体" w:cs="宋体"/>
          <w:color w:val="auto"/>
          <w:sz w:val="28"/>
          <w:szCs w:val="28"/>
          <w:highlight w:val="none"/>
          <w:u w:val="none"/>
          <w:lang w:val="en-US" w:eastAsia="zh-CN"/>
        </w:rPr>
        <w:t>不超过3</w:t>
      </w:r>
      <w:r>
        <w:rPr>
          <w:rFonts w:hint="eastAsia" w:ascii="宋体" w:hAnsi="宋体" w:eastAsia="宋体" w:cs="宋体"/>
          <w:color w:val="auto"/>
          <w:sz w:val="28"/>
          <w:szCs w:val="28"/>
          <w:highlight w:val="none"/>
          <w:u w:val="none"/>
        </w:rPr>
        <w:t>个</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依照本《规定》第</w:t>
      </w:r>
      <w:r>
        <w:rPr>
          <w:rFonts w:hint="eastAsia" w:ascii="宋体" w:hAnsi="宋体" w:eastAsia="宋体" w:cs="宋体"/>
          <w:color w:val="auto"/>
          <w:sz w:val="28"/>
          <w:szCs w:val="28"/>
          <w:highlight w:val="none"/>
          <w:u w:val="none"/>
          <w:lang w:eastAsia="zh-CN"/>
        </w:rPr>
        <w:t>十</w:t>
      </w:r>
      <w:r>
        <w:rPr>
          <w:rFonts w:hint="eastAsia" w:ascii="宋体" w:hAnsi="宋体" w:eastAsia="宋体" w:cs="宋体"/>
          <w:color w:val="auto"/>
          <w:sz w:val="28"/>
          <w:szCs w:val="28"/>
          <w:highlight w:val="none"/>
          <w:u w:val="none"/>
        </w:rPr>
        <w:t>条</w:t>
      </w:r>
      <w:r>
        <w:rPr>
          <w:rFonts w:hint="eastAsia" w:ascii="宋体" w:hAnsi="宋体" w:eastAsia="宋体" w:cs="宋体"/>
          <w:color w:val="auto"/>
          <w:sz w:val="28"/>
          <w:szCs w:val="28"/>
          <w:highlight w:val="none"/>
          <w:u w:val="none"/>
          <w:lang w:val="en-US" w:eastAsia="zh-CN"/>
        </w:rPr>
        <w:t>规定</w:t>
      </w:r>
      <w:r>
        <w:rPr>
          <w:rFonts w:hint="eastAsia" w:ascii="宋体" w:hAnsi="宋体" w:eastAsia="宋体" w:cs="宋体"/>
          <w:color w:val="auto"/>
          <w:sz w:val="28"/>
          <w:szCs w:val="28"/>
          <w:highlight w:val="none"/>
          <w:u w:val="none"/>
        </w:rPr>
        <w:t>办理</w:t>
      </w:r>
      <w:r>
        <w:rPr>
          <w:rFonts w:hint="eastAsia" w:ascii="宋体" w:hAnsi="宋体" w:eastAsia="宋体" w:cs="宋体"/>
          <w:strike w:val="0"/>
          <w:color w:val="auto"/>
          <w:sz w:val="28"/>
          <w:szCs w:val="28"/>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（十一）已形成商圈的，根据经济消费、流动人口、区域位置等因素综合设置零售点数量，依照本《规定》第十条规定办理。</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商圈范围内含本《规定》第十一条其他情形的，相关情形零售点数量不计入该商圈零售点数量。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黑体" w:hAnsi="黑体" w:eastAsia="黑体" w:cs="黑体"/>
          <w:color w:val="auto"/>
          <w:kern w:val="2"/>
          <w:sz w:val="32"/>
          <w:szCs w:val="32"/>
          <w:lang w:val="en-US" w:eastAsia="zh-CN" w:bidi="ar-SA"/>
        </w:rPr>
        <w:t xml:space="preserve">第十二条  </w:t>
      </w:r>
      <w:r>
        <w:rPr>
          <w:rFonts w:hint="eastAsia" w:ascii="宋体" w:hAnsi="宋体" w:eastAsia="宋体" w:cs="宋体"/>
          <w:color w:val="auto"/>
          <w:sz w:val="28"/>
          <w:szCs w:val="28"/>
          <w:highlight w:val="none"/>
          <w:u w:val="none"/>
          <w:lang w:val="en-US" w:eastAsia="zh-CN"/>
        </w:rPr>
        <w:t>属于下列区域场所或情形的，为零售点禁入区，不予设置零售点：</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highlight w:val="none"/>
          <w:u w:val="none"/>
          <w:lang w:val="en-US" w:eastAsia="zh-CN"/>
        </w:rPr>
        <w:t>化工、化肥、农药、油漆、鞭炮、散装汽油等固</w:t>
      </w:r>
      <w:r>
        <w:rPr>
          <w:rFonts w:hint="eastAsia" w:ascii="宋体" w:hAnsi="宋体" w:eastAsia="宋体" w:cs="宋体"/>
          <w:color w:val="auto"/>
          <w:sz w:val="28"/>
          <w:szCs w:val="28"/>
          <w:u w:val="none"/>
          <w:lang w:val="en-US" w:eastAsia="zh-CN"/>
        </w:rPr>
        <w:t>态、液态易燃、易爆、有毒物品生产、经营、储存场所内；易燃、易爆气体生产、经营、储存场所内及周围100米范围内；</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中、小学校内及进出通道口向外延伸200米范围内；</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幼儿园内及进出通道口向外延伸50米范围内；</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学前教育机构、中等职业学校以及其他未成年人集中的室内和室外场所；</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高等院校、培训机构等的室内场所；</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妇幼保健院（所）、儿童医院、儿童福利院的室内和室外场所及其他医疗卫生机构的室内场所，养老院（老年公寓）、疗养院的室内公共场所；</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文化体育活动场所的室内区域、室外观众席以及演艺、比赛区域；</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党政机关内部；</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利用信息网络和自动售货机（柜）经营卷烟的；</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外商投资企业及港、澳、台个体工商户。外商投资企业，包括外商独资、中外合资、中外合作企业，含港、澳、台投资（有外资成分的娱乐服务类企业除外）；</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容易诱导未成年人关注、购买、吸食烟草制品经营场所；</w:t>
      </w:r>
    </w:p>
    <w:p>
      <w:pPr>
        <w:numPr>
          <w:ilvl w:val="0"/>
          <w:numId w:val="4"/>
        </w:numPr>
        <w:spacing w:line="360" w:lineRule="auto"/>
        <w:ind w:firstLine="64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法律、法规、规章等规定的不予设置的情况。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黑体" w:hAnsi="黑体" w:eastAsia="黑体" w:cs="黑体"/>
          <w:color w:val="auto"/>
          <w:kern w:val="2"/>
          <w:sz w:val="32"/>
          <w:szCs w:val="32"/>
          <w:lang w:val="en-US" w:eastAsia="zh-CN" w:bidi="ar-SA"/>
        </w:rPr>
        <w:t xml:space="preserve">第十三条 </w:t>
      </w:r>
      <w:r>
        <w:rPr>
          <w:rFonts w:hint="eastAsia" w:ascii="宋体" w:hAnsi="宋体" w:eastAsia="宋体" w:cs="宋体"/>
          <w:color w:val="auto"/>
          <w:sz w:val="28"/>
          <w:szCs w:val="28"/>
          <w:highlight w:val="none"/>
          <w:u w:val="none"/>
          <w:lang w:val="en-US" w:eastAsia="zh-CN"/>
        </w:rPr>
        <w:t xml:space="preserve"> 持民政、残联等部门有效证明的残疾人、烈士遗属、因公牺牲军人遗属、病故军人遗属，持有效证明申请办理本县范围内第一个零售点的（营业执照限定类型为非家庭经营形式的个体工商户或个人独资企业）。</w:t>
      </w:r>
      <w:r>
        <w:rPr>
          <w:rFonts w:hint="eastAsia" w:ascii="宋体" w:hAnsi="宋体" w:eastAsia="宋体" w:cs="宋体"/>
          <w:color w:val="FF0000"/>
          <w:sz w:val="28"/>
          <w:szCs w:val="28"/>
          <w:highlight w:val="none"/>
          <w:u w:val="none"/>
          <w:lang w:val="en-US" w:eastAsia="zh-CN"/>
        </w:rPr>
        <w:t>遵循市场单元零售点总量指导数控制前提下</w:t>
      </w:r>
      <w:r>
        <w:rPr>
          <w:rFonts w:hint="eastAsia" w:ascii="宋体" w:hAnsi="宋体" w:eastAsia="宋体" w:cs="宋体"/>
          <w:color w:val="auto"/>
          <w:sz w:val="28"/>
          <w:szCs w:val="28"/>
          <w:highlight w:val="none"/>
          <w:u w:val="none"/>
          <w:lang w:val="en-US" w:eastAsia="zh-CN"/>
        </w:rPr>
        <w:t>，布局规定中距离限制放宽到原标准的80%。取得有效许可证后，申请人与实际经营人必须为同一人（收、付款账户与申请人一致），经审批机关市场检查中发现非本人实际经营或本人不再经营的，零售点不再适用此项规定，许可证到期不予延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第十四条  </w:t>
      </w:r>
      <w:r>
        <w:rPr>
          <w:rFonts w:hint="eastAsia" w:ascii="宋体" w:hAnsi="宋体" w:eastAsia="宋体" w:cs="宋体"/>
          <w:color w:val="auto"/>
          <w:sz w:val="28"/>
          <w:szCs w:val="28"/>
          <w:u w:val="none"/>
          <w:lang w:val="en-US" w:eastAsia="zh-CN"/>
        </w:rPr>
        <w:t>有下列情形之一的，在符合本</w:t>
      </w:r>
      <w:r>
        <w:rPr>
          <w:rFonts w:hint="eastAsia" w:ascii="宋体" w:hAnsi="宋体" w:eastAsia="宋体" w:cs="宋体"/>
          <w:color w:val="auto"/>
          <w:sz w:val="28"/>
          <w:szCs w:val="28"/>
          <w:u w:val="none"/>
        </w:rPr>
        <w:t>《规定》</w:t>
      </w:r>
      <w:r>
        <w:rPr>
          <w:rFonts w:hint="eastAsia" w:ascii="宋体" w:hAnsi="宋体" w:eastAsia="宋体" w:cs="宋体"/>
          <w:color w:val="auto"/>
          <w:sz w:val="28"/>
          <w:szCs w:val="28"/>
          <w:u w:val="none"/>
          <w:lang w:eastAsia="zh-CN"/>
        </w:rPr>
        <w:t>第十一条规定的基础上（新经营地址与原地址均属于第十一条相同区域内的，视同符合），</w:t>
      </w:r>
      <w:r>
        <w:rPr>
          <w:rFonts w:hint="eastAsia" w:ascii="宋体" w:hAnsi="宋体" w:eastAsia="宋体" w:cs="宋体"/>
          <w:color w:val="auto"/>
          <w:sz w:val="28"/>
          <w:szCs w:val="28"/>
          <w:u w:val="none"/>
        </w:rPr>
        <w:t>可不受区域总量限制，布局规定</w:t>
      </w:r>
      <w:r>
        <w:rPr>
          <w:rFonts w:hint="eastAsia" w:ascii="宋体" w:hAnsi="宋体" w:eastAsia="宋体" w:cs="宋体"/>
          <w:color w:val="auto"/>
          <w:sz w:val="28"/>
          <w:szCs w:val="28"/>
          <w:u w:val="none"/>
          <w:lang w:val="en-US" w:eastAsia="zh-CN"/>
        </w:rPr>
        <w:t>中距离限制放宽到原设置距离的50%。</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 w:eastAsia="zh-CN"/>
        </w:rPr>
      </w:pPr>
      <w:r>
        <w:rPr>
          <w:rFonts w:hint="eastAsia" w:ascii="宋体" w:hAnsi="宋体" w:eastAsia="宋体" w:cs="宋体"/>
          <w:color w:val="auto"/>
          <w:sz w:val="28"/>
          <w:szCs w:val="28"/>
          <w:u w:val="none"/>
          <w:lang w:val="en"/>
        </w:rPr>
        <w:t>因道路规划、城市建设等客观原因造成无法在核定经营地址经营的，</w:t>
      </w:r>
      <w:r>
        <w:rPr>
          <w:rFonts w:hint="eastAsia" w:ascii="宋体" w:hAnsi="宋体" w:eastAsia="宋体" w:cs="宋体"/>
          <w:color w:val="auto"/>
          <w:sz w:val="28"/>
          <w:szCs w:val="28"/>
          <w:u w:val="none"/>
        </w:rPr>
        <w:t>经营主体未发生变化，</w:t>
      </w:r>
      <w:r>
        <w:rPr>
          <w:rFonts w:hint="eastAsia" w:ascii="宋体" w:hAnsi="宋体" w:eastAsia="宋体" w:cs="宋体"/>
          <w:color w:val="auto"/>
          <w:sz w:val="28"/>
          <w:szCs w:val="28"/>
          <w:u w:val="none"/>
          <w:lang w:val="en-US" w:eastAsia="zh-CN"/>
        </w:rPr>
        <w:t>许可证有效期内及注销后90日内，在原发证机关辖区内</w:t>
      </w:r>
      <w:r>
        <w:rPr>
          <w:rFonts w:hint="eastAsia" w:ascii="宋体" w:hAnsi="宋体" w:eastAsia="宋体" w:cs="宋体"/>
          <w:color w:val="auto"/>
          <w:sz w:val="28"/>
          <w:szCs w:val="28"/>
          <w:u w:val="none"/>
        </w:rPr>
        <w:t>首次主动变更经营地址</w:t>
      </w:r>
      <w:r>
        <w:rPr>
          <w:rFonts w:hint="eastAsia" w:ascii="宋体" w:hAnsi="宋体" w:eastAsia="宋体" w:cs="宋体"/>
          <w:color w:val="auto"/>
          <w:sz w:val="28"/>
          <w:szCs w:val="28"/>
          <w:u w:val="none"/>
          <w:lang w:val="en-US" w:eastAsia="zh-CN"/>
        </w:rPr>
        <w:t>的</w:t>
      </w:r>
      <w:r>
        <w:rPr>
          <w:rFonts w:hint="eastAsia" w:ascii="宋体" w:hAnsi="宋体" w:eastAsia="宋体" w:cs="宋体"/>
          <w:color w:val="auto"/>
          <w:sz w:val="28"/>
          <w:szCs w:val="28"/>
          <w:u w:val="none"/>
          <w:lang w:val="en" w:eastAsia="zh-CN"/>
        </w:rPr>
        <w:t>；</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rPr>
        <w:t>《规定》实施前设立或因客观原因造成经营场所位于中小学、幼儿园周围不予设置零售点距离范围，经营主体未发生变化，</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u w:val="none"/>
        </w:rPr>
        <w:t>首次主动变更经营地址，重新申领烟草专卖零售许可证的</w:t>
      </w:r>
      <w:r>
        <w:rPr>
          <w:rFonts w:hint="eastAsia" w:ascii="宋体" w:hAnsi="宋体" w:eastAsia="宋体" w:cs="宋体"/>
          <w:color w:val="auto"/>
          <w:sz w:val="28"/>
          <w:szCs w:val="28"/>
          <w:u w:val="none"/>
          <w:lang w:eastAsia="zh-CN"/>
        </w:rPr>
        <w:t>；</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因设立</w:t>
      </w:r>
      <w:r>
        <w:rPr>
          <w:rFonts w:hint="eastAsia" w:ascii="宋体" w:hAnsi="宋体" w:eastAsia="宋体" w:cs="宋体"/>
          <w:color w:val="auto"/>
          <w:sz w:val="28"/>
          <w:szCs w:val="28"/>
          <w:u w:val="none"/>
        </w:rPr>
        <w:t>易燃、易爆气体生产、经营、储存场所</w:t>
      </w:r>
      <w:r>
        <w:rPr>
          <w:rFonts w:hint="eastAsia" w:ascii="宋体" w:hAnsi="宋体" w:eastAsia="宋体" w:cs="宋体"/>
          <w:color w:val="auto"/>
          <w:sz w:val="28"/>
          <w:szCs w:val="28"/>
          <w:u w:val="none"/>
          <w:lang w:val="en-US" w:eastAsia="zh-CN"/>
        </w:rPr>
        <w:t>造成经营场所位于</w:t>
      </w:r>
      <w:r>
        <w:rPr>
          <w:rFonts w:hint="eastAsia" w:ascii="宋体" w:hAnsi="宋体" w:eastAsia="宋体" w:cs="宋体"/>
          <w:color w:val="auto"/>
          <w:sz w:val="28"/>
          <w:szCs w:val="28"/>
          <w:u w:val="none"/>
        </w:rPr>
        <w:t>不予设置零售点距离范围，经营主体未发生变化，</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u w:val="none"/>
        </w:rPr>
        <w:t>首次主动变更经营地址，重新申领烟草专卖零售许可证的</w:t>
      </w:r>
      <w:r>
        <w:rPr>
          <w:rFonts w:hint="eastAsia" w:ascii="宋体" w:hAnsi="宋体" w:eastAsia="宋体" w:cs="宋体"/>
          <w:color w:val="auto"/>
          <w:sz w:val="28"/>
          <w:szCs w:val="28"/>
          <w:u w:val="none"/>
          <w:lang w:eastAsia="zh-CN"/>
        </w:rPr>
        <w:t>；</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u w:val="none"/>
        </w:rPr>
        <w:t>因地震、火灾、水灾、泥石流等不可抗力因素导致</w:t>
      </w:r>
      <w:r>
        <w:rPr>
          <w:rFonts w:hint="eastAsia" w:ascii="宋体" w:hAnsi="宋体" w:eastAsia="宋体" w:cs="宋体"/>
          <w:color w:val="auto"/>
          <w:sz w:val="28"/>
          <w:szCs w:val="28"/>
          <w:highlight w:val="none"/>
          <w:u w:val="none"/>
        </w:rPr>
        <w:t>经营场所灭失，经营主体未发生变化</w:t>
      </w:r>
      <w:r>
        <w:rPr>
          <w:rFonts w:hint="eastAsia" w:ascii="宋体" w:hAnsi="宋体" w:eastAsia="宋体" w:cs="宋体"/>
          <w:color w:val="auto"/>
          <w:sz w:val="28"/>
          <w:szCs w:val="28"/>
          <w:u w:val="none"/>
        </w:rPr>
        <w:t>，</w:t>
      </w:r>
      <w:r>
        <w:rPr>
          <w:rFonts w:hint="eastAsia" w:ascii="宋体" w:hAnsi="宋体" w:eastAsia="宋体" w:cs="宋体"/>
          <w:color w:val="auto"/>
          <w:sz w:val="28"/>
          <w:szCs w:val="28"/>
          <w:u w:val="none"/>
          <w:lang w:val="en-US" w:eastAsia="zh-CN"/>
        </w:rPr>
        <w:t>许可证有效期内及注销后90日内</w:t>
      </w:r>
      <w:r>
        <w:rPr>
          <w:rFonts w:hint="eastAsia" w:ascii="宋体" w:hAnsi="宋体" w:eastAsia="宋体" w:cs="宋体"/>
          <w:color w:val="auto"/>
          <w:sz w:val="28"/>
          <w:szCs w:val="28"/>
          <w:highlight w:val="none"/>
          <w:u w:val="none"/>
        </w:rPr>
        <w:t>，持证人及时</w:t>
      </w:r>
      <w:r>
        <w:rPr>
          <w:rFonts w:hint="eastAsia" w:ascii="宋体" w:hAnsi="宋体" w:eastAsia="宋体" w:cs="宋体"/>
          <w:color w:val="auto"/>
          <w:sz w:val="28"/>
          <w:szCs w:val="28"/>
          <w:u w:val="none"/>
        </w:rPr>
        <w:t>在</w:t>
      </w:r>
      <w:r>
        <w:rPr>
          <w:rFonts w:hint="eastAsia" w:ascii="宋体" w:hAnsi="宋体" w:eastAsia="宋体" w:cs="宋体"/>
          <w:color w:val="auto"/>
          <w:sz w:val="28"/>
          <w:szCs w:val="28"/>
          <w:u w:val="none"/>
          <w:lang w:val="en-US" w:eastAsia="zh-CN"/>
        </w:rPr>
        <w:t>原发证机关辖区</w:t>
      </w:r>
      <w:r>
        <w:rPr>
          <w:rFonts w:hint="eastAsia" w:ascii="宋体" w:hAnsi="宋体" w:eastAsia="宋体" w:cs="宋体"/>
          <w:color w:val="auto"/>
          <w:sz w:val="28"/>
          <w:szCs w:val="28"/>
          <w:u w:val="none"/>
          <w:lang w:val="en"/>
        </w:rPr>
        <w:t>内</w:t>
      </w:r>
      <w:r>
        <w:rPr>
          <w:rFonts w:hint="eastAsia" w:ascii="宋体" w:hAnsi="宋体" w:eastAsia="宋体" w:cs="宋体"/>
          <w:color w:val="auto"/>
          <w:sz w:val="28"/>
          <w:szCs w:val="28"/>
          <w:highlight w:val="none"/>
          <w:u w:val="none"/>
        </w:rPr>
        <w:t>提出重新申领烟草专卖零售许可证的</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highlight w:val="none"/>
          <w:u w:val="none"/>
          <w:lang w:eastAsia="zh-CN"/>
        </w:rPr>
        <w:t>属于政府招商引资、政策扶持项目（需提供政府相关证明文件）申请办理烟草专卖零售许可证的；</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beforeAutospacing="0" w:afterAutospacing="0"/>
        <w:ind w:left="-10" w:leftChars="0" w:firstLine="640" w:firstLineChars="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符合当地烟草公司规定的雪茄烟存储、销售、品鉴等经营条件且仅从事雪茄烟零售业务的</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u w:val="none"/>
          <w:lang w:val="en-US" w:eastAsia="zh-CN"/>
        </w:rPr>
        <w:t>取得有效许可证后，申请变更</w:t>
      </w:r>
      <w:r>
        <w:rPr>
          <w:rFonts w:hint="eastAsia" w:ascii="宋体" w:hAnsi="宋体" w:eastAsia="宋体" w:cs="宋体"/>
          <w:color w:val="auto"/>
          <w:sz w:val="28"/>
          <w:szCs w:val="28"/>
          <w:highlight w:val="none"/>
          <w:u w:val="none"/>
          <w:lang w:val="en-US" w:eastAsia="zh-CN"/>
        </w:rPr>
        <w:t>许可范围的，零售点不再适用此项规定，依照本《规定》第十条办理）。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黑体" w:hAnsi="黑体" w:eastAsia="黑体" w:cs="黑体"/>
          <w:color w:val="auto"/>
          <w:kern w:val="2"/>
          <w:sz w:val="32"/>
          <w:szCs w:val="32"/>
          <w:lang w:val="en-US" w:eastAsia="zh-CN" w:bidi="ar-SA"/>
        </w:rPr>
        <w:t xml:space="preserve">第十五条  </w:t>
      </w:r>
      <w:r>
        <w:rPr>
          <w:rFonts w:hint="eastAsia" w:ascii="宋体" w:hAnsi="宋体" w:eastAsia="宋体" w:cs="宋体"/>
          <w:color w:val="auto"/>
          <w:sz w:val="28"/>
          <w:szCs w:val="28"/>
          <w:highlight w:val="none"/>
          <w:u w:val="none"/>
          <w:lang w:val="en-US" w:eastAsia="zh-CN"/>
        </w:rPr>
        <w:t>有下列情形之一的，可不受零售点间隔距离和总量限制。</w:t>
      </w:r>
    </w:p>
    <w:p>
      <w:pPr>
        <w:numPr>
          <w:ilvl w:val="0"/>
          <w:numId w:val="6"/>
        </w:numPr>
        <w:spacing w:line="360" w:lineRule="auto"/>
        <w:ind w:firstLine="645"/>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原持有烟草专卖零售许可证的国有企业，按照国家关于发展混合所有制经济的要求，经国家有关部门批准为国有控股的混合所有制，在许可证有效期内且经营主体</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经营地址未发生改变</w:t>
      </w:r>
      <w:r>
        <w:rPr>
          <w:rFonts w:hint="eastAsia" w:ascii="宋体" w:hAnsi="宋体" w:eastAsia="宋体" w:cs="宋体"/>
          <w:color w:val="auto"/>
          <w:sz w:val="28"/>
          <w:szCs w:val="28"/>
          <w:highlight w:val="none"/>
          <w:u w:val="none"/>
          <w:lang w:eastAsia="zh-CN"/>
        </w:rPr>
        <w:t>；</w:t>
      </w:r>
    </w:p>
    <w:p>
      <w:pPr>
        <w:numPr>
          <w:ilvl w:val="0"/>
          <w:numId w:val="6"/>
        </w:numPr>
        <w:spacing w:line="360" w:lineRule="auto"/>
        <w:ind w:firstLine="645"/>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kern w:val="2"/>
          <w:sz w:val="28"/>
          <w:szCs w:val="28"/>
          <w:highlight w:val="none"/>
          <w:u w:val="none"/>
          <w:lang w:val="en-US" w:eastAsia="zh-CN" w:bidi="ar-SA"/>
        </w:rPr>
        <w:t>持有烟草专卖零售许可非家庭经营的自然人，自然人</w:t>
      </w:r>
      <w:r>
        <w:rPr>
          <w:rFonts w:hint="eastAsia" w:ascii="宋体" w:hAnsi="宋体" w:eastAsia="宋体" w:cs="宋体"/>
          <w:color w:val="auto"/>
          <w:sz w:val="28"/>
          <w:szCs w:val="28"/>
          <w:highlight w:val="none"/>
          <w:u w:val="none"/>
        </w:rPr>
        <w:t>在许可证有</w:t>
      </w:r>
      <w:r>
        <w:rPr>
          <w:rFonts w:hint="eastAsia" w:ascii="宋体" w:hAnsi="宋体" w:eastAsia="宋体" w:cs="宋体"/>
          <w:b w:val="0"/>
          <w:bCs w:val="0"/>
          <w:color w:val="auto"/>
          <w:sz w:val="28"/>
          <w:szCs w:val="28"/>
          <w:highlight w:val="none"/>
          <w:u w:val="none"/>
        </w:rPr>
        <w:t>效期内，死亡或丧失民事行为能力的</w:t>
      </w:r>
      <w:r>
        <w:rPr>
          <w:rFonts w:hint="eastAsia" w:ascii="宋体" w:hAnsi="宋体" w:eastAsia="宋体" w:cs="宋体"/>
          <w:b w:val="0"/>
          <w:bCs w:val="0"/>
          <w:color w:val="auto"/>
          <w:sz w:val="28"/>
          <w:szCs w:val="28"/>
          <w:highlight w:val="none"/>
          <w:u w:val="none"/>
          <w:lang w:eastAsia="zh-CN"/>
        </w:rPr>
        <w:t>，</w:t>
      </w:r>
      <w:r>
        <w:rPr>
          <w:rFonts w:hint="eastAsia" w:ascii="宋体" w:hAnsi="宋体" w:eastAsia="宋体" w:cs="宋体"/>
          <w:b w:val="0"/>
          <w:bCs w:val="0"/>
          <w:color w:val="auto"/>
          <w:sz w:val="28"/>
          <w:szCs w:val="28"/>
          <w:highlight w:val="none"/>
          <w:u w:val="none"/>
        </w:rPr>
        <w:t>原</w:t>
      </w:r>
      <w:r>
        <w:rPr>
          <w:rFonts w:hint="eastAsia" w:ascii="宋体" w:hAnsi="宋体" w:eastAsia="宋体" w:cs="宋体"/>
          <w:color w:val="auto"/>
          <w:kern w:val="2"/>
          <w:sz w:val="28"/>
          <w:szCs w:val="28"/>
          <w:highlight w:val="none"/>
          <w:u w:val="none"/>
          <w:lang w:val="en-US" w:eastAsia="zh-CN" w:bidi="ar-SA"/>
        </w:rPr>
        <w:t>自然人</w:t>
      </w:r>
      <w:r>
        <w:rPr>
          <w:rFonts w:hint="eastAsia" w:ascii="宋体" w:hAnsi="宋体" w:eastAsia="宋体" w:cs="宋体"/>
          <w:b w:val="0"/>
          <w:bCs w:val="0"/>
          <w:color w:val="auto"/>
          <w:sz w:val="28"/>
          <w:szCs w:val="28"/>
          <w:highlight w:val="none"/>
          <w:u w:val="none"/>
        </w:rPr>
        <w:t>连续经营3年以上，且申请歇业前</w:t>
      </w:r>
      <w:r>
        <w:rPr>
          <w:rFonts w:hint="eastAsia" w:ascii="宋体" w:hAnsi="宋体" w:eastAsia="宋体" w:cs="宋体"/>
          <w:b w:val="0"/>
          <w:bCs w:val="0"/>
          <w:color w:val="auto"/>
          <w:sz w:val="28"/>
          <w:szCs w:val="28"/>
          <w:highlight w:val="none"/>
          <w:u w:val="none"/>
          <w:lang w:val="en-US" w:eastAsia="zh-CN"/>
        </w:rPr>
        <w:t>2</w:t>
      </w:r>
      <w:r>
        <w:rPr>
          <w:rFonts w:hint="eastAsia" w:ascii="宋体" w:hAnsi="宋体" w:eastAsia="宋体" w:cs="宋体"/>
          <w:b w:val="0"/>
          <w:bCs w:val="0"/>
          <w:color w:val="auto"/>
          <w:sz w:val="28"/>
          <w:szCs w:val="28"/>
          <w:highlight w:val="none"/>
          <w:u w:val="none"/>
        </w:rPr>
        <w:t>年内无违法违规行为</w:t>
      </w:r>
      <w:r>
        <w:rPr>
          <w:rFonts w:hint="eastAsia" w:ascii="宋体" w:hAnsi="宋体" w:eastAsia="宋体" w:cs="宋体"/>
          <w:b w:val="0"/>
          <w:bCs w:val="0"/>
          <w:color w:val="auto"/>
          <w:sz w:val="28"/>
          <w:szCs w:val="28"/>
          <w:highlight w:val="none"/>
          <w:u w:val="none"/>
          <w:lang w:val="en-US" w:eastAsia="zh-CN"/>
        </w:rPr>
        <w:t>，</w:t>
      </w:r>
      <w:r>
        <w:rPr>
          <w:rFonts w:hint="eastAsia" w:ascii="宋体" w:hAnsi="宋体" w:eastAsia="宋体" w:cs="宋体"/>
          <w:b w:val="0"/>
          <w:bCs w:val="0"/>
          <w:color w:val="auto"/>
          <w:sz w:val="28"/>
          <w:szCs w:val="28"/>
          <w:highlight w:val="none"/>
          <w:u w:val="none"/>
        </w:rPr>
        <w:t>原</w:t>
      </w:r>
      <w:r>
        <w:rPr>
          <w:rFonts w:hint="eastAsia" w:ascii="宋体" w:hAnsi="宋体" w:eastAsia="宋体" w:cs="宋体"/>
          <w:b w:val="0"/>
          <w:bCs w:val="0"/>
          <w:color w:val="auto"/>
          <w:sz w:val="28"/>
          <w:szCs w:val="28"/>
          <w:highlight w:val="none"/>
          <w:u w:val="none"/>
          <w:lang w:eastAsia="zh-CN"/>
        </w:rPr>
        <w:t>自然人</w:t>
      </w:r>
      <w:r>
        <w:rPr>
          <w:rFonts w:hint="eastAsia" w:ascii="宋体" w:hAnsi="宋体" w:eastAsia="宋体" w:cs="宋体"/>
          <w:b w:val="0"/>
          <w:bCs w:val="0"/>
          <w:color w:val="auto"/>
          <w:sz w:val="28"/>
          <w:szCs w:val="28"/>
          <w:highlight w:val="none"/>
          <w:u w:val="none"/>
        </w:rPr>
        <w:t>内部家庭成员（具有完全民事行为能力的配偶、父母或子女）在其死亡或被宣告丧</w:t>
      </w:r>
      <w:r>
        <w:rPr>
          <w:rFonts w:hint="eastAsia" w:ascii="宋体" w:hAnsi="宋体" w:eastAsia="宋体" w:cs="宋体"/>
          <w:color w:val="auto"/>
          <w:sz w:val="28"/>
          <w:szCs w:val="28"/>
          <w:highlight w:val="none"/>
          <w:u w:val="none"/>
        </w:rPr>
        <w:t>失民事行为能力之日起</w:t>
      </w:r>
      <w:r>
        <w:rPr>
          <w:rFonts w:hint="eastAsia" w:ascii="宋体" w:hAnsi="宋体" w:eastAsia="宋体" w:cs="宋体"/>
          <w:color w:val="auto"/>
          <w:sz w:val="28"/>
          <w:szCs w:val="28"/>
          <w:highlight w:val="none"/>
          <w:u w:val="none"/>
          <w:lang w:val="en-US" w:eastAsia="zh-CN"/>
        </w:rPr>
        <w:t>90日</w:t>
      </w:r>
      <w:r>
        <w:rPr>
          <w:rFonts w:hint="eastAsia" w:ascii="宋体" w:hAnsi="宋体" w:eastAsia="宋体" w:cs="宋体"/>
          <w:color w:val="auto"/>
          <w:sz w:val="28"/>
          <w:szCs w:val="28"/>
          <w:highlight w:val="none"/>
          <w:u w:val="none"/>
        </w:rPr>
        <w:t>内申请</w:t>
      </w:r>
      <w:r>
        <w:rPr>
          <w:rFonts w:hint="eastAsia" w:ascii="宋体" w:hAnsi="宋体" w:eastAsia="宋体" w:cs="宋体"/>
          <w:color w:val="auto"/>
          <w:sz w:val="28"/>
          <w:szCs w:val="28"/>
          <w:highlight w:val="none"/>
          <w:u w:val="none"/>
          <w:lang w:eastAsia="zh-CN"/>
        </w:rPr>
        <w:t>于</w:t>
      </w:r>
      <w:r>
        <w:rPr>
          <w:rFonts w:hint="eastAsia" w:ascii="宋体" w:hAnsi="宋体" w:eastAsia="宋体" w:cs="宋体"/>
          <w:color w:val="auto"/>
          <w:sz w:val="28"/>
          <w:szCs w:val="28"/>
          <w:highlight w:val="none"/>
          <w:u w:val="none"/>
        </w:rPr>
        <w:t>原经营地址继续经营的</w:t>
      </w:r>
      <w:r>
        <w:rPr>
          <w:rFonts w:hint="eastAsia" w:ascii="宋体" w:hAnsi="宋体" w:eastAsia="宋体" w:cs="宋体"/>
          <w:color w:val="auto"/>
          <w:sz w:val="28"/>
          <w:szCs w:val="28"/>
          <w:highlight w:val="none"/>
          <w:u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第十六条</w:t>
      </w:r>
      <w:r>
        <w:rPr>
          <w:rFonts w:hint="eastAsia" w:ascii="宋体" w:hAnsi="宋体" w:eastAsia="宋体" w:cs="宋体"/>
          <w:color w:val="auto"/>
          <w:sz w:val="28"/>
          <w:szCs w:val="28"/>
          <w:highlight w:val="none"/>
          <w:u w:val="none"/>
          <w:lang w:val="en-US" w:eastAsia="zh-CN"/>
        </w:rPr>
        <w:t xml:space="preserve">  </w:t>
      </w:r>
      <w:r>
        <w:rPr>
          <w:rFonts w:hint="eastAsia" w:ascii="宋体" w:hAnsi="宋体" w:eastAsia="宋体" w:cs="宋体"/>
          <w:color w:val="auto"/>
          <w:sz w:val="28"/>
          <w:szCs w:val="28"/>
          <w:highlight w:val="none"/>
          <w:u w:val="none"/>
          <w:lang w:val="en-US" w:eastAsia="zh-CN"/>
        </w:rPr>
        <w:t>行政村内零售点数量为零，为便利群众生活，可不受市场单元零售点总量限制，设置1个零售点，依照本《规定》第十条规定办理。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lang w:val="en-US" w:eastAsia="zh-CN"/>
        </w:rPr>
        <w:t>第十七条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本《规定》第十三条、第十四条、第十五条、第十六条申请人必须具有自主经营能力和完全民事行为能力，具有本《规定》第十二条规定情形的，不予设置零售点。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lang w:val="en-US" w:eastAsia="zh-CN"/>
        </w:rPr>
        <w:t xml:space="preserve">第十八条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申请人已纳入轮候，其经营场所附近，因本《规定》第十四条新增零售点的，新增的零售点不作为其申办参照点。</w:t>
      </w:r>
    </w:p>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beforeAutospacing="0" w:afterAutospacing="0"/>
        <w:ind w:left="0" w:leftChars="0"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32"/>
          <w:szCs w:val="32"/>
          <w:lang w:val="en-US" w:eastAsia="zh-CN"/>
        </w:rPr>
        <w:t>第十九条</w:t>
      </w:r>
      <w:r>
        <w:rPr>
          <w:rFonts w:hint="eastAsia" w:asciiTheme="minorEastAsia" w:hAnsiTheme="minorEastAsia" w:eastAsiaTheme="minorEastAsia" w:cstheme="minorEastAsia"/>
          <w:sz w:val="28"/>
          <w:szCs w:val="28"/>
          <w:lang w:val="en-US" w:eastAsia="zh-CN"/>
        </w:rPr>
        <w:t xml:space="preserve">  规定中的术语认定：</w:t>
      </w:r>
    </w:p>
    <w:p>
      <w:pPr>
        <w:numPr>
          <w:ilvl w:val="0"/>
          <w:numId w:val="7"/>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"经营场所"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经营场所</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用于从事烟草制品销售、交易、存储的地方。该经营地址为实际经营地址，有独立面向公共正常开放且具有卷烟陈列、展示条件，具备正常开展经营活动的场所。办公区域、仓储区域、二楼以上区域（机场、汽车站、火车站除外）、公厕、车间厂房等除外；</w:t>
      </w:r>
    </w:p>
    <w:p>
      <w:pPr>
        <w:numPr>
          <w:ilvl w:val="0"/>
          <w:numId w:val="7"/>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与住所相独立”是指经营场所不与住所相混合在一起、无法进行物理上的区分。以下情况为不相独立：一是住所与经营场所混用；二是住所与经营场所相连接，如经营场所与个人生活区域连通或经营场所为住宅、公寓及住宅附属的阳台、窗口、地下室、储藏室、仓库、架空层、外扩房间等（行政村、自然村：与住宅相独立的耳房、厢房、围房除外）；</w:t>
      </w:r>
    </w:p>
    <w:p>
      <w:pPr>
        <w:numPr>
          <w:ilvl w:val="0"/>
          <w:numId w:val="7"/>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固定经营场所”是指固定的、不可移动的合法建筑，不包括流动摊点（车、棚）、开放式摊位、简易板房、书报亭、电话亭、违章建筑、集装箱屋、临时建筑、未交付使用的建筑、已被政府纳入拆迁规划（已正式开始施工）、政府明令禁止办理烟草专卖零售许可证的区域或分时共享的同一商铺等；</w:t>
      </w:r>
    </w:p>
    <w:p>
      <w:pPr>
        <w:numPr>
          <w:ilvl w:val="0"/>
          <w:numId w:val="7"/>
        </w:numPr>
        <w:spacing w:line="360" w:lineRule="auto"/>
        <w:ind w:left="195" w:leftChars="0" w:firstLine="645" w:firstLineChars="0"/>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"与烟草制品零售业务没有直接或间接互补营销关系的业态类型"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与烟草制品零售业务没有直接或间接互补营销关系的业态类型</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 xml:space="preserve">”是指不以经营烟酒糖茶及预包装食品为主业，包括但不限于主营计生用品、服装制售、美容美发美甲、洗浴桑拿、按摩足疗、茶叶茶室、现制现售食品、医疗保健、日化美妆、仪器仪表、金银珠宝、丧葬花圈、金融证券、体育健身、音像制品、工艺美术、回收寄售、寄卖典当、渔具钓具、水产海鲜、花园园艺、鲜花礼品、办公用品、彩票博彩、传真打印、影像照相、床上用品、家电家具、中介劳服、旅行社、祭祀用品、通信器材、机耕农具、农畜养殖、建筑装潢、搬家运输、五金交电、汽车租赁、汽车美容、车辆维修、宠物店、烘培面点、寄递配送等专业性较强的门店及酒店、饭店、私人会所、酒吧、台球厅、咖啡厅、歌舞厅、麻将棋牌、网吧等单一功能的消费场所（本规定第十一条（一）款的除外）； </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"中、小学校"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中、小学校</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”是指以未成年人为教育对象，实施中等和初等教育的学校，包括普通中小学、特殊教育学校、中等职业学校、专门学校；</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u w:val="none"/>
          <w:lang w:val="en-US" w:eastAsia="zh-CN"/>
        </w:rPr>
        <w:fldChar w:fldCharType="begin"/>
      </w:r>
      <w:r>
        <w:rPr>
          <w:rFonts w:hint="eastAsia" w:ascii="宋体" w:hAnsi="宋体" w:eastAsia="宋体" w:cs="宋体"/>
          <w:color w:val="auto"/>
          <w:sz w:val="28"/>
          <w:szCs w:val="28"/>
          <w:u w:val="none"/>
          <w:lang w:val="en-US" w:eastAsia="zh-CN"/>
        </w:rPr>
        <w:instrText xml:space="preserve"> HYPERLINK \l "幼儿园" </w:instrText>
      </w:r>
      <w:r>
        <w:rPr>
          <w:rFonts w:hint="eastAsia" w:ascii="宋体" w:hAnsi="宋体" w:eastAsia="宋体" w:cs="宋体"/>
          <w:color w:val="auto"/>
          <w:sz w:val="28"/>
          <w:szCs w:val="28"/>
          <w:u w:val="none"/>
          <w:lang w:val="en-US" w:eastAsia="zh-CN"/>
        </w:rPr>
        <w:fldChar w:fldCharType="separate"/>
      </w:r>
      <w:r>
        <w:rPr>
          <w:rFonts w:hint="eastAsia" w:ascii="宋体" w:hAnsi="宋体" w:eastAsia="宋体" w:cs="宋体"/>
          <w:color w:val="auto"/>
          <w:sz w:val="28"/>
          <w:szCs w:val="28"/>
          <w:u w:val="none"/>
          <w:lang w:val="en-US" w:eastAsia="zh-CN"/>
        </w:rPr>
        <w:t>幼儿园</w:t>
      </w:r>
      <w:r>
        <w:rPr>
          <w:rFonts w:hint="eastAsia" w:ascii="宋体" w:hAnsi="宋体" w:eastAsia="宋体" w:cs="宋体"/>
          <w:color w:val="auto"/>
          <w:sz w:val="28"/>
          <w:szCs w:val="28"/>
          <w:u w:val="none"/>
          <w:lang w:val="en-US" w:eastAsia="zh-CN"/>
        </w:rPr>
        <w:fldChar w:fldCharType="end"/>
      </w:r>
      <w:r>
        <w:rPr>
          <w:rFonts w:hint="eastAsia" w:ascii="宋体" w:hAnsi="宋体" w:eastAsia="宋体" w:cs="宋体"/>
          <w:color w:val="auto"/>
          <w:sz w:val="28"/>
          <w:szCs w:val="28"/>
          <w:u w:val="none"/>
          <w:lang w:val="en-US" w:eastAsia="zh-CN"/>
        </w:rPr>
        <w:t>”是指经教育部门依法批准的公办和民办全日制、寄宿制、半日制幼儿园及小学附设的学前班、幼儿班，不包括幼儿看护、早教、幼儿托管机构等；</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“进出通道口”是指供各类人员进出校园的通道，含正门、边门、侧门、专用消防通道等；</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“容易诱导未成年人关注、购买、吸食烟草制品经营场所”是指母婴用品、书店、文具店、玩具店、游乐场所等；</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beforeAutospacing="0" w:afterAutospacing="0"/>
        <w:ind w:firstLine="560" w:firstLineChars="2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“封闭式”是指执法、服务车辆或人员需通过登记、刷卡或其他方式得到许可后，方能进出的区域。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第二十条  </w:t>
      </w:r>
      <w:r>
        <w:rPr>
          <w:rFonts w:hint="eastAsia" w:ascii="宋体" w:hAnsi="宋体" w:eastAsia="宋体" w:cs="宋体"/>
          <w:color w:val="auto"/>
          <w:sz w:val="28"/>
          <w:szCs w:val="28"/>
          <w:u w:val="none"/>
          <w:lang w:val="en-US" w:eastAsia="zh-CN"/>
        </w:rPr>
        <w:t>零售点间距测量标准。拟申请零售点与周边最近零售点之间，行人可通行并符合交通法规的通行线路的最短距离，测量的起点与终点分别为邻近两个零售点最近出入口的中间点，或者与中小学、幼儿园等场所可出入门的中间点之间的距离。因道路施工、临时封闭，或遇到临时障碍物需绕行的距离，不计算在零售点间距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第二十一条  </w:t>
      </w:r>
      <w:r>
        <w:rPr>
          <w:rFonts w:hint="eastAsia" w:ascii="宋体" w:hAnsi="宋体" w:eastAsia="宋体" w:cs="宋体"/>
          <w:color w:val="auto"/>
          <w:sz w:val="28"/>
          <w:szCs w:val="28"/>
          <w:u w:val="none"/>
          <w:lang w:val="en-US" w:eastAsia="zh-CN"/>
        </w:rPr>
        <w:t>本《规定》实施前已合法持有烟草专卖零售许可证的零售户，按照尊重历史、立足现状、信赖保护的原则，在许可证有效期内不受烟草制品零售点合理布局规定调整的影响。但属于第十二条规定的，原烟草专卖零售许可证到期后不予延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第二十二条  </w:t>
      </w:r>
      <w:r>
        <w:rPr>
          <w:rFonts w:hint="eastAsia" w:ascii="宋体" w:hAnsi="宋体" w:eastAsia="宋体" w:cs="宋体"/>
          <w:color w:val="auto"/>
          <w:sz w:val="28"/>
          <w:szCs w:val="28"/>
          <w:u w:val="none"/>
          <w:lang w:val="en-US" w:eastAsia="zh-CN"/>
        </w:rPr>
        <w:t>本规定中的“以上”“不超过”均包含本数，“以下”“不低于”“范围内”均不含本数。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第二十三条  </w:t>
      </w:r>
      <w:r>
        <w:rPr>
          <w:rFonts w:hint="eastAsia" w:ascii="宋体" w:hAnsi="宋体" w:eastAsia="宋体" w:cs="宋体"/>
          <w:color w:val="auto"/>
          <w:sz w:val="28"/>
          <w:szCs w:val="28"/>
          <w:u w:val="none"/>
          <w:lang w:val="en-US" w:eastAsia="zh-CN"/>
        </w:rPr>
        <w:t>本规定如有与法律、法规及规章相抵触的，以法律、法规、规章的规定为准。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u w:val="none"/>
          <w:lang w:val="en-US" w:eastAsia="zh-CN"/>
        </w:rPr>
      </w:pPr>
      <w:r>
        <w:rPr>
          <w:rFonts w:hint="eastAsia" w:ascii="黑体" w:hAnsi="黑体" w:eastAsia="黑体" w:cs="黑体"/>
          <w:color w:val="auto"/>
          <w:kern w:val="2"/>
          <w:sz w:val="32"/>
          <w:szCs w:val="32"/>
          <w:lang w:val="en-US" w:eastAsia="zh-CN" w:bidi="ar-SA"/>
        </w:rPr>
        <w:t xml:space="preserve">第二十四条  </w:t>
      </w:r>
      <w:r>
        <w:rPr>
          <w:rFonts w:hint="eastAsia" w:ascii="宋体" w:hAnsi="宋体" w:eastAsia="宋体" w:cs="宋体"/>
          <w:color w:val="auto"/>
          <w:sz w:val="28"/>
          <w:szCs w:val="28"/>
          <w:u w:val="none"/>
          <w:lang w:val="en-US" w:eastAsia="zh-CN"/>
        </w:rPr>
        <w:t>本规定自xxxx年xx月xx日起施行，有效期限五年（但依据法律法规规定的程序另行修订的除外）。迁西县烟草专卖局xxxx年xx月xx日印发的《迁西县烟草制品零售点布局管理规定》（xxxx号）同时废止。</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Autospacing="0" w:afterAutospacing="0"/>
        <w:ind w:left="0" w:leftChars="0" w:firstLine="640" w:firstLineChars="200"/>
        <w:jc w:val="left"/>
        <w:textAlignment w:val="auto"/>
        <w:rPr>
          <w:rFonts w:hint="eastAsia" w:ascii="宋体" w:hAnsi="宋体" w:eastAsia="宋体" w:cs="宋体"/>
          <w:color w:val="auto"/>
          <w:sz w:val="28"/>
          <w:szCs w:val="28"/>
          <w:lang w:val="en-US" w:eastAsia="zh-CN"/>
        </w:rPr>
      </w:pPr>
      <w:r>
        <w:rPr>
          <w:rFonts w:hint="eastAsia" w:ascii="黑体" w:hAnsi="黑体" w:eastAsia="黑体" w:cs="黑体"/>
          <w:color w:val="auto"/>
          <w:kern w:val="2"/>
          <w:sz w:val="32"/>
          <w:szCs w:val="32"/>
          <w:lang w:val="en-US" w:eastAsia="zh-CN" w:bidi="ar-SA"/>
        </w:rPr>
        <w:t xml:space="preserve">第二十五条  </w:t>
      </w:r>
      <w:r>
        <w:rPr>
          <w:rFonts w:hint="eastAsia" w:ascii="宋体" w:hAnsi="宋体" w:eastAsia="宋体" w:cs="宋体"/>
          <w:color w:val="auto"/>
          <w:sz w:val="28"/>
          <w:szCs w:val="28"/>
          <w:u w:val="none"/>
          <w:lang w:val="en-US" w:eastAsia="zh-CN"/>
        </w:rPr>
        <w:t>本规定由迁西县烟草专卖局负责解释。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83F5A"/>
    <w:multiLevelType w:val="singleLevel"/>
    <w:tmpl w:val="8FD83F5A"/>
    <w:lvl w:ilvl="0" w:tentative="0">
      <w:start w:val="1"/>
      <w:numFmt w:val="chineseCounting"/>
      <w:suff w:val="nothing"/>
      <w:lvlText w:val="（%1）"/>
      <w:lvlJc w:val="left"/>
      <w:rPr>
        <w:rFonts w:hint="eastAsia"/>
      </w:rPr>
    </w:lvl>
  </w:abstractNum>
  <w:abstractNum w:abstractNumId="1">
    <w:nsid w:val="C27D7C3A"/>
    <w:multiLevelType w:val="multilevel"/>
    <w:tmpl w:val="C27D7C3A"/>
    <w:lvl w:ilvl="0" w:tentative="0">
      <w:start w:val="1"/>
      <w:numFmt w:val="chineseCounting"/>
      <w:suff w:val="space"/>
      <w:lvlText w:val="第%1章"/>
      <w:lvlJc w:val="center"/>
      <w:pPr>
        <w:tabs>
          <w:tab w:val="left" w:pos="0"/>
        </w:tabs>
      </w:pPr>
      <w:rPr>
        <w:rFonts w:hint="eastAsia" w:ascii="黑体" w:hAnsi="黑体" w:eastAsia="黑体" w:cs="黑体"/>
        <w:b w:val="0"/>
        <w:bCs w:val="0"/>
      </w:rPr>
    </w:lvl>
    <w:lvl w:ilvl="1" w:tentative="0">
      <w:start w:val="1"/>
      <w:numFmt w:val="chineseCounting"/>
      <w:suff w:val="nothing"/>
      <w:lvlText w:val="第%2条"/>
      <w:lvlJc w:val="left"/>
      <w:pPr>
        <w:tabs>
          <w:tab w:val="left" w:pos="420"/>
        </w:tabs>
      </w:pPr>
      <w:rPr>
        <w:rFonts w:hint="eastAsia"/>
        <w:b/>
        <w:bCs/>
      </w:rPr>
    </w:lvl>
    <w:lvl w:ilvl="2" w:tentative="0">
      <w:start w:val="1"/>
      <w:numFmt w:val="chineseCounting"/>
      <w:suff w:val="nothing"/>
      <w:lvlText w:val="（%3）"/>
      <w:lvlJc w:val="left"/>
      <w:rPr>
        <w:rFonts w:hint="eastAsia"/>
        <w:b w:val="0"/>
        <w:bCs w:val="0"/>
      </w:rPr>
    </w:lvl>
    <w:lvl w:ilvl="3" w:tentative="0">
      <w:start w:val="1"/>
      <w:numFmt w:val="decimal"/>
      <w:suff w:val="nothing"/>
      <w:lvlText w:val="%4．"/>
      <w:lvlJc w:val="left"/>
      <w:rPr>
        <w:rFonts w:hint="eastAsia"/>
        <w:b/>
        <w:bCs/>
      </w:rPr>
    </w:lvl>
    <w:lvl w:ilvl="4" w:tentative="0">
      <w:start w:val="1"/>
      <w:numFmt w:val="decimal"/>
      <w:suff w:val="nothing"/>
      <w:lvlText w:val="（%5）"/>
      <w:lvlJc w:val="left"/>
      <w:rPr>
        <w:rFonts w:hint="eastAsia"/>
        <w:b/>
        <w:bCs/>
      </w:rPr>
    </w:lvl>
    <w:lvl w:ilvl="5" w:tentative="0">
      <w:start w:val="1"/>
      <w:numFmt w:val="decimalEnclosedCircleChinese"/>
      <w:suff w:val="nothing"/>
      <w:lvlText w:val="%6"/>
      <w:lvlJc w:val="left"/>
      <w:rPr>
        <w:rFonts w:hint="eastAsia"/>
        <w:b/>
        <w:bCs/>
      </w:rPr>
    </w:lvl>
    <w:lvl w:ilvl="6" w:tentative="0">
      <w:start w:val="1"/>
      <w:numFmt w:val="decimal"/>
      <w:suff w:val="nothing"/>
      <w:lvlText w:val="%7）"/>
      <w:lvlJc w:val="left"/>
      <w:rPr>
        <w:rFonts w:hint="eastAsia"/>
        <w:b/>
        <w:bCs/>
      </w:rPr>
    </w:lvl>
    <w:lvl w:ilvl="7" w:tentative="0">
      <w:start w:val="1"/>
      <w:numFmt w:val="lowerLetter"/>
      <w:suff w:val="nothing"/>
      <w:lvlText w:val="%8．"/>
      <w:lvlJc w:val="left"/>
      <w:rPr>
        <w:rFonts w:hint="eastAsia"/>
        <w:b/>
        <w:bCs/>
      </w:rPr>
    </w:lvl>
    <w:lvl w:ilvl="8" w:tentative="0">
      <w:start w:val="1"/>
      <w:numFmt w:val="lowerLetter"/>
      <w:suff w:val="nothing"/>
      <w:lvlText w:val="%9）"/>
      <w:lvlJc w:val="left"/>
      <w:rPr>
        <w:rFonts w:hint="eastAsia"/>
        <w:b/>
        <w:bCs/>
      </w:rPr>
    </w:lvl>
  </w:abstractNum>
  <w:abstractNum w:abstractNumId="2">
    <w:nsid w:val="ECB3E846"/>
    <w:multiLevelType w:val="singleLevel"/>
    <w:tmpl w:val="ECB3E846"/>
    <w:lvl w:ilvl="0" w:tentative="0">
      <w:start w:val="1"/>
      <w:numFmt w:val="chineseCounting"/>
      <w:suff w:val="nothing"/>
      <w:lvlText w:val="（%1）"/>
      <w:lvlJc w:val="left"/>
      <w:rPr>
        <w:rFonts w:hint="eastAsia"/>
      </w:rPr>
    </w:lvl>
  </w:abstractNum>
  <w:abstractNum w:abstractNumId="3">
    <w:nsid w:val="052A492F"/>
    <w:multiLevelType w:val="singleLevel"/>
    <w:tmpl w:val="052A492F"/>
    <w:lvl w:ilvl="0" w:tentative="0">
      <w:start w:val="1"/>
      <w:numFmt w:val="chineseCounting"/>
      <w:suff w:val="nothing"/>
      <w:lvlText w:val="（%1）"/>
      <w:lvlJc w:val="left"/>
      <w:pPr>
        <w:ind w:left="-10"/>
      </w:pPr>
      <w:rPr>
        <w:rFonts w:hint="eastAsia"/>
      </w:rPr>
    </w:lvl>
  </w:abstractNum>
  <w:abstractNum w:abstractNumId="4">
    <w:nsid w:val="07F53358"/>
    <w:multiLevelType w:val="singleLevel"/>
    <w:tmpl w:val="07F53358"/>
    <w:lvl w:ilvl="0" w:tentative="0">
      <w:start w:val="1"/>
      <w:numFmt w:val="chineseCounting"/>
      <w:suff w:val="nothing"/>
      <w:lvlText w:val="（%1）"/>
      <w:lvlJc w:val="left"/>
      <w:rPr>
        <w:rFonts w:hint="eastAsia"/>
      </w:rPr>
    </w:lvl>
  </w:abstractNum>
  <w:abstractNum w:abstractNumId="5">
    <w:nsid w:val="081D1180"/>
    <w:multiLevelType w:val="singleLevel"/>
    <w:tmpl w:val="081D1180"/>
    <w:lvl w:ilvl="0" w:tentative="0">
      <w:start w:val="1"/>
      <w:numFmt w:val="chineseCounting"/>
      <w:suff w:val="nothing"/>
      <w:lvlText w:val="（%1）"/>
      <w:lvlJc w:val="left"/>
      <w:pPr>
        <w:ind w:left="195"/>
      </w:pPr>
      <w:rPr>
        <w:rFonts w:hint="eastAsia"/>
      </w:rPr>
    </w:lvl>
  </w:abstractNum>
  <w:abstractNum w:abstractNumId="6">
    <w:nsid w:val="44F23472"/>
    <w:multiLevelType w:val="singleLevel"/>
    <w:tmpl w:val="44F23472"/>
    <w:lvl w:ilvl="0" w:tentative="0">
      <w:start w:val="1"/>
      <w:numFmt w:val="chineseCounting"/>
      <w:suff w:val="nothing"/>
      <w:lvlText w:val="（%1）"/>
      <w:lvlJc w:val="left"/>
      <w:rPr>
        <w:rFonts w:hint="eastAsia"/>
      </w:r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zg5MTU2YmIxMzQ2ZjZkMDI3Y2NjYmQ3ZDEwYWIifQ=="/>
  </w:docVars>
  <w:rsids>
    <w:rsidRoot w:val="66E26686"/>
    <w:rsid w:val="0156547C"/>
    <w:rsid w:val="03471472"/>
    <w:rsid w:val="078A4B27"/>
    <w:rsid w:val="08597C79"/>
    <w:rsid w:val="09D71772"/>
    <w:rsid w:val="0D3A3CBA"/>
    <w:rsid w:val="0DDF72BE"/>
    <w:rsid w:val="0E0C4DFD"/>
    <w:rsid w:val="10BC5702"/>
    <w:rsid w:val="10BD2541"/>
    <w:rsid w:val="112C4AAE"/>
    <w:rsid w:val="127B2E60"/>
    <w:rsid w:val="15E9458A"/>
    <w:rsid w:val="16AA7F7C"/>
    <w:rsid w:val="18DA283C"/>
    <w:rsid w:val="1A7F2D68"/>
    <w:rsid w:val="1BFD7B7A"/>
    <w:rsid w:val="22794399"/>
    <w:rsid w:val="22E079AB"/>
    <w:rsid w:val="25A72C88"/>
    <w:rsid w:val="268964E8"/>
    <w:rsid w:val="28905503"/>
    <w:rsid w:val="297939AC"/>
    <w:rsid w:val="2A3F0751"/>
    <w:rsid w:val="2ABD1842"/>
    <w:rsid w:val="2C354A2F"/>
    <w:rsid w:val="2D160A8E"/>
    <w:rsid w:val="2E847F51"/>
    <w:rsid w:val="2F2F348A"/>
    <w:rsid w:val="2FFE5F66"/>
    <w:rsid w:val="326E243B"/>
    <w:rsid w:val="33307380"/>
    <w:rsid w:val="38917328"/>
    <w:rsid w:val="39DF43E8"/>
    <w:rsid w:val="3A115770"/>
    <w:rsid w:val="3CC03C61"/>
    <w:rsid w:val="3DB443FE"/>
    <w:rsid w:val="4056719A"/>
    <w:rsid w:val="426060AC"/>
    <w:rsid w:val="44806DEE"/>
    <w:rsid w:val="465E7A7F"/>
    <w:rsid w:val="498D572D"/>
    <w:rsid w:val="4A987ED5"/>
    <w:rsid w:val="4B606EE5"/>
    <w:rsid w:val="4C8449BE"/>
    <w:rsid w:val="50C068F3"/>
    <w:rsid w:val="546C41B9"/>
    <w:rsid w:val="59296D66"/>
    <w:rsid w:val="5AC52C21"/>
    <w:rsid w:val="60E90970"/>
    <w:rsid w:val="62FA5AFF"/>
    <w:rsid w:val="637A6B3B"/>
    <w:rsid w:val="660348FD"/>
    <w:rsid w:val="66E26686"/>
    <w:rsid w:val="67BF2E2C"/>
    <w:rsid w:val="6BE82D25"/>
    <w:rsid w:val="6D9126D1"/>
    <w:rsid w:val="6F8C1F3E"/>
    <w:rsid w:val="6FC00F05"/>
    <w:rsid w:val="6FEB7051"/>
    <w:rsid w:val="7AE2E736"/>
    <w:rsid w:val="7D714396"/>
    <w:rsid w:val="7DE4127F"/>
    <w:rsid w:val="7E8B71C0"/>
    <w:rsid w:val="7EB66D55"/>
    <w:rsid w:val="F7F5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styleId="9">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5614</Words>
  <Characters>5676</Characters>
  <Lines>0</Lines>
  <Paragraphs>0</Paragraphs>
  <TotalTime>103</TotalTime>
  <ScaleCrop>false</ScaleCrop>
  <LinksUpToDate>false</LinksUpToDate>
  <CharactersWithSpaces>5686</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2024-10-03T18:14:00Z</dcterms:created>
  <dc:creator>高高</dc:creator>
  <cp:lastModifiedBy>王成</cp:lastModifiedBy>
  <dcterms:modified xsi:type="dcterms:W3CDTF">2024-10-18T02:32:52Z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49DD47F6646741DFA8620F4F420DD2D8_13</vt:lpwstr>
  </property>
</Properties>
</file>