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迁西县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尹庄乡人民政府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行政执法服务指南</w:t>
      </w: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 xml:space="preserve">  </w:t>
      </w:r>
    </w:p>
    <w:p>
      <w:pPr>
        <w:spacing w:line="560" w:lineRule="exact"/>
        <w:jc w:val="center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在辖区内发现有违反法律法规行为的，按照法律法规规定应予以行政处罚的，制作《立案审批表》，行政执法人员应首先对违法行为进行现场调查，记录启动行政处罚程序。（纸质文书资料记录）</w:t>
      </w:r>
    </w:p>
    <w:p>
      <w:pPr>
        <w:spacing w:line="560" w:lineRule="exact"/>
        <w:rPr>
          <w:rFonts w:ascii="方正黑体简体" w:hAnsi="Times New Roman" w:eastAsia="方正黑体简体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黑体简体" w:hAnsi="Times New Roman" w:eastAsia="方正黑体简体" w:cs="方正黑体简体"/>
          <w:color w:val="000000"/>
          <w:sz w:val="32"/>
          <w:szCs w:val="32"/>
        </w:rPr>
        <w:t xml:space="preserve"> </w:t>
      </w:r>
      <w:r>
        <w:rPr>
          <w:rFonts w:hint="eastAsia" w:ascii="方正黑体简体" w:hAnsi="Times New Roman" w:eastAsia="方正黑体简体" w:cs="方正黑体简体"/>
          <w:color w:val="000000"/>
          <w:sz w:val="32"/>
          <w:szCs w:val="32"/>
        </w:rPr>
        <w:t>一、调查取证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、执法人员应当依照法定权限和程序，收集能够证明案件事实的证据资料。进行检查时不得少于两人，应当向当事人或者有关人员出示证件。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纸质文书资料记录，并可通过执法记录仪记录同时进行音像记录）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、需要对被查对象相关人员进行询问的，除在被查对象生产、经营场所询问外，执法人员应当制作并送达《询问通知书》，在进行询问（调查）时，应制作《询问（调查）笔录》。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3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、执法人员在进行实地调查取证时，应对实地检查情况予以记录或者说明，制作《检查（勘验）笔录》。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4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、执法人员在检查过程中，需要提取证据材料原件的，应制作现场照片及录像材料。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5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、检查结束前，可将发现的违法事实和依据告知被查对象，并提供有关资料；被查对象口头说明的，制作《陈述（申辩）笔录》。</w:t>
      </w:r>
    </w:p>
    <w:p>
      <w:pPr>
        <w:spacing w:line="560" w:lineRule="exact"/>
        <w:ind w:firstLine="640"/>
        <w:rPr>
          <w:rFonts w:ascii="Times New Roman" w:hAnsi="Times New Roman" w:eastAsia="仿宋"/>
          <w:color w:val="000000"/>
          <w:spacing w:val="-8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color w:val="000000"/>
          <w:spacing w:val="-8"/>
          <w:sz w:val="32"/>
          <w:szCs w:val="32"/>
        </w:rPr>
        <w:t>、调查完结后，应当形成《调查情况报告》，提出行政处罚建议。</w:t>
      </w:r>
    </w:p>
    <w:p>
      <w:pPr>
        <w:spacing w:line="560" w:lineRule="exact"/>
        <w:ind w:firstLine="64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、综合执法大队将《行政调查报告》及相关证据资料存档。</w:t>
      </w:r>
    </w:p>
    <w:p>
      <w:pPr>
        <w:spacing w:line="560" w:lineRule="exact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黑体简体" w:hAnsi="Times New Roman" w:eastAsia="方正黑体简体" w:cs="方正黑体简体"/>
          <w:color w:val="000000"/>
          <w:sz w:val="32"/>
          <w:szCs w:val="32"/>
        </w:rPr>
        <w:t xml:space="preserve">   </w:t>
      </w:r>
      <w:r>
        <w:rPr>
          <w:rFonts w:hint="eastAsia" w:ascii="方正黑体简体" w:hAnsi="Times New Roman" w:eastAsia="方正黑体简体" w:cs="方正黑体简体"/>
          <w:color w:val="000000"/>
          <w:sz w:val="32"/>
          <w:szCs w:val="32"/>
        </w:rPr>
        <w:t>二、告知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、适用简易处罚程序当场进行处罚的，处罚事项告知应告知当事人并听取当事人陈述申辩，制作《陈述（申辩）笔录》。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纸质文书资料记录）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、适用一般处罚程序，应制作《行政处罚事先告知书》送达相对人，听取当事人陈述申辩并制作《陈述（申辩）笔录》。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纸质文书资料记录）</w:t>
      </w:r>
    </w:p>
    <w:p>
      <w:pPr>
        <w:spacing w:line="560" w:lineRule="exact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方正黑体简体" w:hAnsi="Times New Roman" w:eastAsia="方正黑体简体" w:cs="方正黑体简体"/>
          <w:color w:val="000000"/>
          <w:sz w:val="32"/>
          <w:szCs w:val="32"/>
        </w:rPr>
        <w:t>三、听证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方正楷体简体" w:hAnsi="Times New Roman" w:eastAsia="方正楷体简体" w:cs="方正楷体简体"/>
          <w:color w:val="000000"/>
          <w:sz w:val="32"/>
          <w:szCs w:val="32"/>
        </w:rPr>
        <w:t xml:space="preserve">  </w:t>
      </w:r>
      <w:r>
        <w:rPr>
          <w:rFonts w:hint="eastAsia" w:ascii="方正楷体简体" w:hAnsi="Times New Roman" w:eastAsia="方正楷体简体" w:cs="方正楷体简体"/>
          <w:color w:val="000000"/>
          <w:sz w:val="32"/>
          <w:szCs w:val="32"/>
        </w:rPr>
        <w:t>（一）申请。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（纸质文书资料记录）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、适用一般处罚程序，符合听证条件，当事人提出要求听证的，应当提交《听证申请书》。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、办理人员进行登记并审核当事人的听证申请是否符合受理条件。符合受理条件，应制作《事项通知书》（受理通知）送达申请人；不符合的，应制作《事项通知书》（不予受理通知）送达申请人。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楷体简体" w:hAnsi="Times New Roman" w:eastAsia="方正楷体简体" w:cs="方正楷体简体"/>
          <w:color w:val="000000"/>
          <w:sz w:val="32"/>
          <w:szCs w:val="32"/>
        </w:rPr>
        <w:t xml:space="preserve">   </w:t>
      </w:r>
      <w:r>
        <w:rPr>
          <w:rFonts w:hint="eastAsia" w:ascii="方正楷体简体" w:hAnsi="Times New Roman" w:eastAsia="方正楷体简体" w:cs="方正楷体简体"/>
          <w:color w:val="000000"/>
          <w:sz w:val="32"/>
          <w:szCs w:val="32"/>
        </w:rPr>
        <w:t>（二）准备。（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纸质文书资料记录）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、办理人员应当制作《听证主持授权委托书》经批准后交被委托人。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、制作《行政处罚听证通知书》送达当事人。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3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、当事人提出回避申请且上级机关同意的，重新制作《行政处罚听证通知书》送达当事人。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方正楷体简体" w:hAnsi="Times New Roman" w:eastAsia="方正楷体简体" w:cs="方正楷体简体"/>
          <w:color w:val="000000"/>
          <w:sz w:val="32"/>
          <w:szCs w:val="32"/>
        </w:rPr>
        <w:t xml:space="preserve">  </w:t>
      </w:r>
      <w:r>
        <w:rPr>
          <w:rFonts w:hint="eastAsia" w:ascii="方正楷体简体" w:hAnsi="Times New Roman" w:eastAsia="方正楷体简体" w:cs="方正楷体简体"/>
          <w:color w:val="000000"/>
          <w:sz w:val="32"/>
          <w:szCs w:val="32"/>
        </w:rPr>
        <w:t>（三）实施。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整个听证活动应当当场记录，制作《听证记录》。听证结束后，将听证情况和处理意见形成《听证报告》，报机关负责人审阅。（纸质文书资料记录，并通过摄像机或执法记录仪同时进行音像记录）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方正楷体简体" w:hAnsi="Times New Roman" w:eastAsia="方正楷体简体" w:cs="方正楷体简体"/>
          <w:color w:val="000000"/>
          <w:sz w:val="32"/>
          <w:szCs w:val="32"/>
        </w:rPr>
        <w:t>（四）中止、终止。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听证进行过程中，发生法定情形，需要中止或终止的，制作《事项通知书》（听证中止通知）或者《事项通知书》（听证终止通知），送达当事人。（纸质文书资料记录）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楷体简体" w:hAnsi="Times New Roman" w:eastAsia="方正楷体简体" w:cs="方正楷体简体"/>
          <w:color w:val="000000"/>
          <w:sz w:val="32"/>
          <w:szCs w:val="32"/>
        </w:rPr>
        <w:t xml:space="preserve"> </w:t>
      </w:r>
      <w:r>
        <w:rPr>
          <w:rFonts w:hint="eastAsia" w:ascii="方正楷体简体" w:hAnsi="Times New Roman" w:eastAsia="方正楷体简体" w:cs="方正楷体简体"/>
          <w:color w:val="000000"/>
          <w:sz w:val="32"/>
          <w:szCs w:val="32"/>
        </w:rPr>
        <w:t>（五）延期。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当事人未能在提出听证期限内提出听证的，应当提交《听证延期申请书》及符合延期的证明材料。上级机关驳回申请的，制作《事项通知书》（不予受理通知）送达当事人；同意延期的，制作《事项通知书》（受理通知）送达当事人。（纸质文书资料记录）</w:t>
      </w:r>
    </w:p>
    <w:p>
      <w:pPr>
        <w:spacing w:line="560" w:lineRule="exact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黑体简体" w:hAnsi="Times New Roman" w:eastAsia="方正黑体简体" w:cs="方正黑体简体"/>
          <w:color w:val="000000"/>
          <w:sz w:val="32"/>
          <w:szCs w:val="32"/>
        </w:rPr>
        <w:t xml:space="preserve">   </w:t>
      </w:r>
      <w:r>
        <w:rPr>
          <w:rFonts w:hint="eastAsia" w:ascii="方正黑体简体" w:hAnsi="Times New Roman" w:eastAsia="方正黑体简体" w:cs="方正黑体简体"/>
          <w:color w:val="000000"/>
          <w:sz w:val="32"/>
          <w:szCs w:val="32"/>
        </w:rPr>
        <w:t>四、审核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（一）法制审核</w:t>
      </w:r>
    </w:p>
    <w:p>
      <w:pPr>
        <w:spacing w:line="560" w:lineRule="exact"/>
        <w:ind w:firstLine="64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违法事实不清、证据不足、不符合法定程序、或者被查对象认定错误，文书不规范、不完整，或者其他需要补充证据的情形，应出具《补证或补充调查通知书》，不予通过法制审核。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事实清楚、证据确凿、程序合法、适用法律、法规、规范性文件准确的，通过法制审核。（纸质文书资料）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（二）重大案件集体</w:t>
      </w:r>
      <w:bookmarkStart w:id="0" w:name="_GoBack"/>
      <w:bookmarkEnd w:id="0"/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讨论</w:t>
      </w:r>
    </w:p>
    <w:p>
      <w:pPr>
        <w:spacing w:line="560" w:lineRule="exact"/>
        <w:ind w:firstLine="64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重大行政执法案件由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乡政府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组织召开集体讨论，制作《重大行政执法集体讨论会议记录》。</w:t>
      </w:r>
    </w:p>
    <w:p>
      <w:pPr>
        <w:spacing w:line="560" w:lineRule="exact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黑体简体" w:hAnsi="Times New Roman" w:eastAsia="方正黑体简体" w:cs="方正黑体简体"/>
          <w:color w:val="000000"/>
          <w:sz w:val="32"/>
          <w:szCs w:val="32"/>
        </w:rPr>
        <w:t xml:space="preserve">   </w:t>
      </w:r>
      <w:r>
        <w:rPr>
          <w:rFonts w:hint="eastAsia" w:ascii="方正黑体简体" w:hAnsi="Times New Roman" w:eastAsia="方正黑体简体" w:cs="方正黑体简体"/>
          <w:color w:val="000000"/>
          <w:sz w:val="32"/>
          <w:szCs w:val="32"/>
        </w:rPr>
        <w:t>五、决定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楷体简体" w:hAnsi="Times New Roman" w:eastAsia="方正楷体简体" w:cs="方正楷体简体"/>
          <w:color w:val="000000"/>
          <w:sz w:val="32"/>
          <w:szCs w:val="32"/>
        </w:rPr>
        <w:t xml:space="preserve"> </w:t>
      </w:r>
      <w:r>
        <w:rPr>
          <w:rFonts w:hint="eastAsia" w:ascii="方正楷体简体" w:hAnsi="Times New Roman" w:eastAsia="方正楷体简体" w:cs="方正楷体简体"/>
          <w:color w:val="000000"/>
          <w:sz w:val="32"/>
          <w:szCs w:val="32"/>
        </w:rPr>
        <w:t>（一）审查。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办理人员按照规定对认定事实、证据和处罚建议适用的处罚种类、依据是否正确、调查取证是否合法、当事人陈述申辩的事实、证据是否成立，对听证当事人申辩的事实、证据是否成立等进行审查。（纸质文书资料记录）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方正楷体简体" w:hAnsi="Times New Roman" w:eastAsia="方正楷体简体" w:cs="方正楷体简体"/>
          <w:color w:val="000000"/>
          <w:sz w:val="32"/>
          <w:szCs w:val="32"/>
        </w:rPr>
        <w:t xml:space="preserve">  </w:t>
      </w:r>
      <w:r>
        <w:rPr>
          <w:rFonts w:hint="eastAsia" w:ascii="方正楷体简体" w:hAnsi="Times New Roman" w:eastAsia="方正楷体简体" w:cs="方正楷体简体"/>
          <w:color w:val="000000"/>
          <w:sz w:val="32"/>
          <w:szCs w:val="32"/>
        </w:rPr>
        <w:t>（二）审批。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审核人员根据提交的审查报告和材料，填写相应审批意见。办理人员根据审批意见，制作《行政处罚决定书》，并由执行人员送达当事人。（纸质文书资料记录）</w:t>
      </w:r>
    </w:p>
    <w:p>
      <w:pPr>
        <w:spacing w:line="560" w:lineRule="exact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黑体简体" w:hAnsi="Times New Roman" w:eastAsia="方正黑体简体" w:cs="方正黑体简体"/>
          <w:color w:val="000000"/>
          <w:sz w:val="32"/>
          <w:szCs w:val="32"/>
        </w:rPr>
        <w:t xml:space="preserve"> </w:t>
      </w:r>
      <w:r>
        <w:rPr>
          <w:rFonts w:hint="eastAsia" w:ascii="方正黑体简体" w:hAnsi="Times New Roman" w:eastAsia="方正黑体简体" w:cs="方正黑体简体"/>
          <w:color w:val="000000"/>
          <w:sz w:val="32"/>
          <w:szCs w:val="32"/>
        </w:rPr>
        <w:t>六、执行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楷体简体" w:hAnsi="Times New Roman" w:eastAsia="方正楷体简体" w:cs="方正楷体简体"/>
          <w:color w:val="000000"/>
          <w:sz w:val="32"/>
          <w:szCs w:val="32"/>
        </w:rPr>
        <w:t xml:space="preserve">   </w:t>
      </w:r>
      <w:r>
        <w:rPr>
          <w:rFonts w:hint="eastAsia" w:ascii="方正楷体简体" w:hAnsi="Times New Roman" w:eastAsia="方正楷体简体" w:cs="方正楷体简体"/>
          <w:color w:val="000000"/>
          <w:sz w:val="32"/>
          <w:szCs w:val="32"/>
        </w:rPr>
        <w:t>（一）相对人履行。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涉及行政处罚的，依法进行记录。行政处罚相对人履行处罚决定的，执行人员应当制作《行政处罚决定书》现场或邮寄方式送达本人，并备案。留置送达和公告送达（纸质文书资料记录，并通过摄像机或执法记录仪同时进行音像记录）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方正楷体简体" w:hAnsi="Times New Roman" w:eastAsia="方正楷体简体" w:cs="方正楷体简体"/>
          <w:color w:val="000000"/>
          <w:sz w:val="32"/>
          <w:szCs w:val="32"/>
        </w:rPr>
        <w:t xml:space="preserve">    </w:t>
      </w:r>
      <w:r>
        <w:rPr>
          <w:rFonts w:hint="eastAsia" w:ascii="方正楷体简体" w:hAnsi="Times New Roman" w:eastAsia="方正楷体简体" w:cs="方正楷体简体"/>
          <w:color w:val="000000"/>
          <w:sz w:val="32"/>
          <w:szCs w:val="32"/>
        </w:rPr>
        <w:t>（二）移送司法。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涉嫌犯罪的，制作《案件处理内部审批表》报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乡镇主要领导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批准后，制定作《行政案件移送函》，与涉嫌犯罪的主要证据材料的复印件一并移交公安部门。（纸质文书资料记录）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方正楷体简体" w:hAnsi="Times New Roman" w:eastAsia="方正楷体简体" w:cs="方正楷体简体"/>
          <w:color w:val="000000"/>
          <w:sz w:val="32"/>
          <w:szCs w:val="32"/>
        </w:rPr>
        <w:t>（三）逾期不履行行政处罚决定。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按照《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行政处罚法》第五十一条相关要求处理，到期不缴纳罚款的，每日按罚款数额的百分之三加处罚款；根据法律规定，将查封、扣押的财物拍卖或者将冻结的存款划拨抵缴罚款；申请人民法院强制执行。</w:t>
      </w:r>
    </w:p>
    <w:p>
      <w:pPr>
        <w:ind w:firstLine="640" w:firstLineChars="200"/>
        <w:rPr>
          <w:rFonts w:ascii="方正黑体简体" w:hAnsi="Times New Roman" w:eastAsia="方正黑体简体"/>
          <w:color w:val="000000"/>
          <w:sz w:val="32"/>
          <w:szCs w:val="32"/>
        </w:rPr>
      </w:pPr>
      <w:r>
        <w:rPr>
          <w:rFonts w:hint="eastAsia" w:ascii="方正黑体简体" w:hAnsi="Times New Roman" w:eastAsia="方正黑体简体" w:cs="方正黑体简体"/>
          <w:color w:val="000000"/>
          <w:sz w:val="32"/>
          <w:szCs w:val="32"/>
        </w:rPr>
        <w:t>七、救济途径</w:t>
      </w:r>
    </w:p>
    <w:p>
      <w:pPr>
        <w:ind w:firstLine="640" w:firstLineChars="200"/>
        <w:rPr>
          <w:rFonts w:ascii="方正黑体简体" w:hAnsi="Times New Roman" w:eastAsia="方正黑体简体"/>
          <w:color w:val="000000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</w:rPr>
        <w:t>对行政处罚决定不服的，可以自接到处罚决定之日起六十日内向县政府申请行政复议，或六个月内向县人民法院提起行政诉讼。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D6"/>
    <w:rsid w:val="00057081"/>
    <w:rsid w:val="002D16EE"/>
    <w:rsid w:val="003A490C"/>
    <w:rsid w:val="003B1ED6"/>
    <w:rsid w:val="003E4D19"/>
    <w:rsid w:val="00885113"/>
    <w:rsid w:val="00A25EF1"/>
    <w:rsid w:val="00C43BC0"/>
    <w:rsid w:val="00DD0B2E"/>
    <w:rsid w:val="00E01AAC"/>
    <w:rsid w:val="00E87770"/>
    <w:rsid w:val="00F76CA2"/>
    <w:rsid w:val="00FF2092"/>
    <w:rsid w:val="1CCA1C8A"/>
    <w:rsid w:val="2B8239A3"/>
    <w:rsid w:val="4F3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311</Words>
  <Characters>1774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2020-10-17T07:46:00Z</dcterms:created>
  <dc:creator>Microsoft</dc:creator>
  <cp:lastModifiedBy>Administrator</cp:lastModifiedBy>
  <dcterms:modified xsi:type="dcterms:W3CDTF">2024-01-15T04:11:20Z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