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2023年迁西县旧城乡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行政处罚裁量权基准制度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为规范行政执法行为，公平、公正行使行政处罚自由裁量权，保证行政处罚的合法、适当，保障公民、法人或其他组织的合法权益，根据《中华人民共和国行政处罚法》等有关规定，结合我镇实际制定本制度。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一、不予行政处罚基准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（二）违法行为两年内未被发现的；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（三）其它法定不予行政处罚的。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</w:rPr>
        <w:t>二、从轻、减轻处罚基准</w:t>
      </w: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（一）积极配合执法部门查处违法行为，有立功表现的；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主动消除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或者减轻违法行为危害后果的；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（三）经营者初次违法的；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（四）受他人胁迫实施违法行为的；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（五）按照法律、法规、规章规定应当从轻、减轻处罚的。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435"/>
    <w:rsid w:val="00145498"/>
    <w:rsid w:val="003334B3"/>
    <w:rsid w:val="00645435"/>
    <w:rsid w:val="00AA4671"/>
    <w:rsid w:val="00D452A3"/>
    <w:rsid w:val="348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2020-10-17T07:27:00Z</dcterms:created>
  <dc:creator>Microsoft</dc:creator>
  <cp:lastModifiedBy>Administrator</cp:lastModifiedBy>
  <dcterms:modified xsi:type="dcterms:W3CDTF">2023-10-17T01:25:20Z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