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4"/>
          <w:szCs w:val="44"/>
        </w:rPr>
        <w:t>迁西县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4"/>
          <w:szCs w:val="44"/>
          <w:lang w:val="en-US" w:eastAsia="zh-CN"/>
        </w:rPr>
        <w:t>新庄子镇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4"/>
          <w:szCs w:val="44"/>
        </w:rPr>
        <w:t>行政处罚裁量权基准制度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color w:val="000000"/>
          <w:sz w:val="44"/>
          <w:szCs w:val="44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为规范行政执法行为，公平、公正行使行政处罚自由裁量权，保证行政处罚的合法、适当，保障公民、法人或其他组织的合法权益，根据《中华人民共和国行政处罚法》等有关规定，结合我单位实际制定本制度。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（一）初次违法情节轻微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</w:rPr>
        <w:t>并及时纠正，没有造成危害后果的；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主动消除或者减轻违法行为危害后果的；</w:t>
      </w:r>
      <w:r>
        <w:rPr>
          <w:rFonts w:ascii="Times New Roman" w:hAnsi="Times New Roman" w:eastAsia="仿宋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0ZmMwZTFjMWU3MmFmMDc4YWY4MDQ2MTgyZTAyZWYifQ=="/>
  </w:docVars>
  <w:rsids>
    <w:rsidRoot w:val="00645435"/>
    <w:rsid w:val="00032AEC"/>
    <w:rsid w:val="00145498"/>
    <w:rsid w:val="003334B3"/>
    <w:rsid w:val="005F5D14"/>
    <w:rsid w:val="00626959"/>
    <w:rsid w:val="00645435"/>
    <w:rsid w:val="007C5A3E"/>
    <w:rsid w:val="00AA4671"/>
    <w:rsid w:val="00D452A3"/>
    <w:rsid w:val="426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47</Words>
  <Characters>269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35730</cp:lastModifiedBy>
  <dcterms:modified xsi:type="dcterms:W3CDTF">2023-10-16T06:09:29Z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41AB1531421B482483AF1ED4E51D4E80_12</vt:lpwstr>
  </property>
</Properties>
</file>